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FDBB" w14:textId="77777777" w:rsidR="00F33860" w:rsidRDefault="00F33860" w:rsidP="00F33860">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3AB6E745" w14:textId="2DF0D986" w:rsidR="00F33860" w:rsidRDefault="00F33860" w:rsidP="00F33860">
      <w:pPr>
        <w:jc w:val="both"/>
        <w:rPr>
          <w:rFonts w:ascii="Arial" w:hAnsi="Arial" w:cs="Arial"/>
          <w:b/>
          <w:bCs/>
          <w:noProof/>
          <w:sz w:val="24"/>
          <w:szCs w:val="24"/>
        </w:rPr>
      </w:pPr>
      <w:r>
        <w:rPr>
          <w:rFonts w:ascii="Arial" w:hAnsi="Arial" w:cs="Arial"/>
          <w:b/>
          <w:bCs/>
          <w:noProof/>
          <w:sz w:val="24"/>
          <w:szCs w:val="24"/>
        </w:rPr>
        <w:t>S</w:t>
      </w:r>
      <w:r w:rsidR="00D8354A">
        <w:rPr>
          <w:rFonts w:ascii="Arial" w:hAnsi="Arial" w:cs="Arial"/>
          <w:b/>
          <w:bCs/>
          <w:noProof/>
          <w:sz w:val="24"/>
          <w:szCs w:val="24"/>
        </w:rPr>
        <w:t>elasa</w:t>
      </w:r>
      <w:r>
        <w:rPr>
          <w:rFonts w:ascii="Arial" w:hAnsi="Arial" w:cs="Arial"/>
          <w:b/>
          <w:bCs/>
          <w:noProof/>
          <w:sz w:val="24"/>
          <w:szCs w:val="24"/>
        </w:rPr>
        <w:t xml:space="preserve">, </w:t>
      </w:r>
      <w:r w:rsidR="00D8354A">
        <w:rPr>
          <w:rFonts w:ascii="Arial" w:hAnsi="Arial" w:cs="Arial"/>
          <w:b/>
          <w:bCs/>
          <w:noProof/>
          <w:sz w:val="24"/>
          <w:szCs w:val="24"/>
        </w:rPr>
        <w:t>9</w:t>
      </w:r>
      <w:r>
        <w:rPr>
          <w:rFonts w:ascii="Arial" w:hAnsi="Arial" w:cs="Arial"/>
          <w:b/>
          <w:bCs/>
          <w:noProof/>
          <w:sz w:val="24"/>
          <w:szCs w:val="24"/>
        </w:rPr>
        <w:t xml:space="preserve"> September 2025</w:t>
      </w:r>
    </w:p>
    <w:p w14:paraId="15D3111E" w14:textId="79C7AE02" w:rsidR="00F33860" w:rsidRDefault="007F51C2" w:rsidP="00F33860">
      <w:pPr>
        <w:jc w:val="both"/>
        <w:rPr>
          <w:rFonts w:ascii="Arial" w:hAnsi="Arial" w:cs="Arial"/>
          <w:b/>
          <w:bCs/>
          <w:noProof/>
          <w:sz w:val="24"/>
          <w:szCs w:val="24"/>
        </w:rPr>
      </w:pPr>
      <w:r>
        <w:rPr>
          <w:rFonts w:ascii="Arial" w:hAnsi="Arial" w:cs="Arial"/>
          <w:b/>
          <w:bCs/>
          <w:noProof/>
          <w:sz w:val="24"/>
          <w:szCs w:val="24"/>
        </w:rPr>
        <w:t xml:space="preserve">DOKUMEN PEMILIHAN </w:t>
      </w:r>
      <w:r w:rsidR="00B018EC">
        <w:rPr>
          <w:rFonts w:ascii="Arial" w:hAnsi="Arial" w:cs="Arial"/>
          <w:b/>
          <w:bCs/>
          <w:noProof/>
          <w:sz w:val="24"/>
          <w:szCs w:val="24"/>
        </w:rPr>
        <w:t xml:space="preserve">YANG KETENTUANNYA DIATUR DALAM PERPRES TENTANG PENGADAAN BARANG/JASA PEMERINTAH MENURUT </w:t>
      </w:r>
      <w:r>
        <w:rPr>
          <w:rFonts w:ascii="Arial" w:hAnsi="Arial" w:cs="Arial"/>
          <w:b/>
          <w:bCs/>
          <w:noProof/>
          <w:sz w:val="24"/>
          <w:szCs w:val="24"/>
        </w:rPr>
        <w:t xml:space="preserve">ASAS HUKUM </w:t>
      </w:r>
      <w:r w:rsidR="00B018EC">
        <w:rPr>
          <w:rFonts w:ascii="Arial" w:hAnsi="Arial" w:cs="Arial"/>
          <w:b/>
          <w:bCs/>
          <w:noProof/>
          <w:sz w:val="24"/>
          <w:szCs w:val="24"/>
        </w:rPr>
        <w:t xml:space="preserve">TERMASUK </w:t>
      </w:r>
      <w:r>
        <w:rPr>
          <w:rFonts w:ascii="Arial" w:hAnsi="Arial" w:cs="Arial"/>
          <w:b/>
          <w:bCs/>
          <w:noProof/>
          <w:sz w:val="24"/>
          <w:szCs w:val="24"/>
        </w:rPr>
        <w:t xml:space="preserve">BERSIFAT KHUSUS </w:t>
      </w:r>
    </w:p>
    <w:p w14:paraId="1D943429" w14:textId="6699E2CD" w:rsidR="003D3396" w:rsidRDefault="003D3396" w:rsidP="00F33860">
      <w:pPr>
        <w:jc w:val="both"/>
        <w:rPr>
          <w:rFonts w:ascii="Arial" w:hAnsi="Arial" w:cs="Arial"/>
          <w:noProof/>
          <w:sz w:val="24"/>
          <w:szCs w:val="24"/>
        </w:rPr>
      </w:pPr>
      <w:r>
        <w:rPr>
          <w:rFonts w:ascii="Arial" w:hAnsi="Arial" w:cs="Arial"/>
          <w:noProof/>
          <w:sz w:val="24"/>
          <w:szCs w:val="24"/>
        </w:rPr>
        <w:t xml:space="preserve">Direktur Utama PT. Harum Jaya (Penggugat) mengajukan gugatan Perbuatan Melawan Hukum di PN Banda Aceh terhadap Pokja Pemilihan Pekerjaan Lanjutan Pembangunan Rumah Sakit Pendidikan Universitas Syiah Kuala (Tergugat I), PPK Belanja Barang dan Modal-BLU Universitas Syiah Kuala (Tergugat II), Pimpinan </w:t>
      </w:r>
      <w:r w:rsidR="00C67F3E">
        <w:rPr>
          <w:rFonts w:ascii="Arial" w:hAnsi="Arial" w:cs="Arial"/>
          <w:noProof/>
          <w:sz w:val="24"/>
          <w:szCs w:val="24"/>
        </w:rPr>
        <w:t>BLU</w:t>
      </w:r>
      <w:r>
        <w:rPr>
          <w:rFonts w:ascii="Arial" w:hAnsi="Arial" w:cs="Arial"/>
          <w:noProof/>
          <w:sz w:val="24"/>
          <w:szCs w:val="24"/>
        </w:rPr>
        <w:t xml:space="preserve"> Universitas Syiah Kuala (Tergugat III), dan Direktur Utama PT. NZA Jaya Konstruksi sebagai Pemenang Tender Pekerjaan Lanjutan Pembangunan Rumah Sakit Pendidikan Universitas Syiah Kuala</w:t>
      </w:r>
      <w:r w:rsidR="00C67F3E">
        <w:rPr>
          <w:rFonts w:ascii="Arial" w:hAnsi="Arial" w:cs="Arial"/>
          <w:noProof/>
          <w:sz w:val="24"/>
          <w:szCs w:val="24"/>
        </w:rPr>
        <w:t xml:space="preserve"> (Tergugat IV) dengan nilai HPS Paket Rp. 25.504.100.000.</w:t>
      </w:r>
      <w:r>
        <w:rPr>
          <w:rFonts w:ascii="Arial" w:hAnsi="Arial" w:cs="Arial"/>
          <w:noProof/>
          <w:sz w:val="24"/>
          <w:szCs w:val="24"/>
        </w:rPr>
        <w:t xml:space="preserve"> </w:t>
      </w:r>
    </w:p>
    <w:p w14:paraId="3BC855E0" w14:textId="77777777" w:rsidR="00C67F3E" w:rsidRDefault="001F41EF" w:rsidP="00F33860">
      <w:pPr>
        <w:jc w:val="both"/>
        <w:rPr>
          <w:rFonts w:ascii="Arial" w:hAnsi="Arial" w:cs="Arial"/>
          <w:noProof/>
          <w:sz w:val="24"/>
          <w:szCs w:val="24"/>
        </w:rPr>
      </w:pPr>
      <w:r>
        <w:rPr>
          <w:rFonts w:ascii="Arial" w:hAnsi="Arial" w:cs="Arial"/>
          <w:noProof/>
          <w:sz w:val="24"/>
          <w:szCs w:val="24"/>
        </w:rPr>
        <w:t xml:space="preserve">Penggugat mendalilkan </w:t>
      </w:r>
      <w:r w:rsidR="000869F5">
        <w:rPr>
          <w:rFonts w:ascii="Arial" w:hAnsi="Arial" w:cs="Arial"/>
          <w:noProof/>
          <w:sz w:val="24"/>
          <w:szCs w:val="24"/>
        </w:rPr>
        <w:t xml:space="preserve">Para Tergugat </w:t>
      </w:r>
      <w:r w:rsidR="00C67F3E">
        <w:rPr>
          <w:rFonts w:ascii="Arial" w:hAnsi="Arial" w:cs="Arial"/>
          <w:noProof/>
          <w:sz w:val="24"/>
          <w:szCs w:val="24"/>
        </w:rPr>
        <w:t xml:space="preserve">melakukan Perbuatan Melawan Hukum karena  menggugurkannya </w:t>
      </w:r>
      <w:r>
        <w:rPr>
          <w:rFonts w:ascii="Arial" w:hAnsi="Arial" w:cs="Arial"/>
          <w:noProof/>
          <w:sz w:val="24"/>
          <w:szCs w:val="24"/>
        </w:rPr>
        <w:t xml:space="preserve">pada tahap Pengumuman Pemenang </w:t>
      </w:r>
      <w:r w:rsidR="00C67F3E">
        <w:rPr>
          <w:rFonts w:ascii="Arial" w:hAnsi="Arial" w:cs="Arial"/>
          <w:noProof/>
          <w:sz w:val="24"/>
          <w:szCs w:val="24"/>
        </w:rPr>
        <w:t>dengan alasan</w:t>
      </w:r>
      <w:r>
        <w:rPr>
          <w:rFonts w:ascii="Arial" w:hAnsi="Arial" w:cs="Arial"/>
          <w:noProof/>
          <w:sz w:val="24"/>
          <w:szCs w:val="24"/>
        </w:rPr>
        <w:t xml:space="preserve"> “tidak menyerahkan jaminan penawaran seperti yang dipersyaratkan”, di mana hal ini dinyatakan Pengugat tidak ada ketentuannya di dalam Peraturan Rektor Universitas Syiah Kuala Nomor 7 Tahun 2021 tentang Pedoman Pengadaan Barang/Jasa di Lingkungan Universitas Syiah Kuala.</w:t>
      </w:r>
      <w:r w:rsidR="000869F5">
        <w:rPr>
          <w:rFonts w:ascii="Arial" w:hAnsi="Arial" w:cs="Arial"/>
          <w:noProof/>
          <w:sz w:val="24"/>
          <w:szCs w:val="24"/>
        </w:rPr>
        <w:t xml:space="preserve"> </w:t>
      </w:r>
    </w:p>
    <w:p w14:paraId="40BB71A0" w14:textId="563C21DB" w:rsidR="00DF626E" w:rsidRDefault="00DF626E" w:rsidP="00F33860">
      <w:pPr>
        <w:jc w:val="both"/>
        <w:rPr>
          <w:rFonts w:ascii="Arial" w:hAnsi="Arial" w:cs="Arial"/>
          <w:noProof/>
          <w:sz w:val="24"/>
          <w:szCs w:val="24"/>
        </w:rPr>
      </w:pPr>
      <w:r>
        <w:rPr>
          <w:rFonts w:ascii="Arial" w:hAnsi="Arial" w:cs="Arial"/>
          <w:noProof/>
          <w:sz w:val="24"/>
          <w:szCs w:val="24"/>
        </w:rPr>
        <w:t xml:space="preserve">Para Tergugat </w:t>
      </w:r>
      <w:r w:rsidR="00C67F3E">
        <w:rPr>
          <w:rFonts w:ascii="Arial" w:hAnsi="Arial" w:cs="Arial"/>
          <w:noProof/>
          <w:sz w:val="24"/>
          <w:szCs w:val="24"/>
        </w:rPr>
        <w:t>kemudian</w:t>
      </w:r>
      <w:r w:rsidR="000869F5">
        <w:rPr>
          <w:rFonts w:ascii="Arial" w:hAnsi="Arial" w:cs="Arial"/>
          <w:noProof/>
          <w:sz w:val="24"/>
          <w:szCs w:val="24"/>
        </w:rPr>
        <w:t xml:space="preserve"> menyatakan bahwa</w:t>
      </w:r>
      <w:r>
        <w:rPr>
          <w:rFonts w:ascii="Arial" w:hAnsi="Arial" w:cs="Arial"/>
          <w:noProof/>
          <w:sz w:val="24"/>
          <w:szCs w:val="24"/>
        </w:rPr>
        <w:t xml:space="preserve"> Dokumen Pemilihan telah mensyaratkan adanya jaminan penawaran </w:t>
      </w:r>
      <w:r w:rsidR="00C67F3E">
        <w:rPr>
          <w:rFonts w:ascii="Arial" w:hAnsi="Arial" w:cs="Arial"/>
          <w:noProof/>
          <w:sz w:val="24"/>
          <w:szCs w:val="24"/>
        </w:rPr>
        <w:t>dan</w:t>
      </w:r>
      <w:r>
        <w:rPr>
          <w:rFonts w:ascii="Arial" w:hAnsi="Arial" w:cs="Arial"/>
          <w:noProof/>
          <w:sz w:val="24"/>
          <w:szCs w:val="24"/>
        </w:rPr>
        <w:t xml:space="preserve"> Penggugat tidak pernah </w:t>
      </w:r>
      <w:r w:rsidR="001548B0">
        <w:rPr>
          <w:rFonts w:ascii="Arial" w:hAnsi="Arial" w:cs="Arial"/>
          <w:noProof/>
          <w:sz w:val="24"/>
          <w:szCs w:val="24"/>
        </w:rPr>
        <w:t xml:space="preserve">menyatakan </w:t>
      </w:r>
      <w:r>
        <w:rPr>
          <w:rFonts w:ascii="Arial" w:hAnsi="Arial" w:cs="Arial"/>
          <w:noProof/>
          <w:sz w:val="24"/>
          <w:szCs w:val="24"/>
        </w:rPr>
        <w:t>keberatan</w:t>
      </w:r>
      <w:r w:rsidR="001548B0">
        <w:rPr>
          <w:rFonts w:ascii="Arial" w:hAnsi="Arial" w:cs="Arial"/>
          <w:noProof/>
          <w:sz w:val="24"/>
          <w:szCs w:val="24"/>
        </w:rPr>
        <w:t xml:space="preserve"> terkait ini,</w:t>
      </w:r>
      <w:r>
        <w:rPr>
          <w:rFonts w:ascii="Arial" w:hAnsi="Arial" w:cs="Arial"/>
          <w:noProof/>
          <w:sz w:val="24"/>
          <w:szCs w:val="24"/>
        </w:rPr>
        <w:t xml:space="preserve"> </w:t>
      </w:r>
      <w:r w:rsidR="001548B0">
        <w:rPr>
          <w:rFonts w:ascii="Arial" w:hAnsi="Arial" w:cs="Arial"/>
          <w:noProof/>
          <w:sz w:val="24"/>
          <w:szCs w:val="24"/>
        </w:rPr>
        <w:t>bahkan</w:t>
      </w:r>
      <w:r>
        <w:rPr>
          <w:rFonts w:ascii="Arial" w:hAnsi="Arial" w:cs="Arial"/>
          <w:noProof/>
          <w:sz w:val="24"/>
          <w:szCs w:val="24"/>
        </w:rPr>
        <w:t xml:space="preserve"> Pokja sudah memberi kesempatan pada saat </w:t>
      </w:r>
      <w:r>
        <w:rPr>
          <w:rFonts w:ascii="Arial" w:hAnsi="Arial" w:cs="Arial"/>
          <w:i/>
          <w:iCs/>
          <w:noProof/>
          <w:sz w:val="24"/>
          <w:szCs w:val="24"/>
        </w:rPr>
        <w:t>aanwijzing</w:t>
      </w:r>
      <w:r>
        <w:rPr>
          <w:rFonts w:ascii="Arial" w:hAnsi="Arial" w:cs="Arial"/>
          <w:noProof/>
          <w:sz w:val="24"/>
          <w:szCs w:val="24"/>
        </w:rPr>
        <w:t xml:space="preserve"> (pemberian penjelasan) terkait hal yang kurang dipahami/keberatan dalam Dokumen Pemilihan</w:t>
      </w:r>
      <w:r w:rsidR="001548B0">
        <w:rPr>
          <w:rFonts w:ascii="Arial" w:hAnsi="Arial" w:cs="Arial"/>
          <w:noProof/>
          <w:sz w:val="24"/>
          <w:szCs w:val="24"/>
        </w:rPr>
        <w:t xml:space="preserve"> di mana Penggugat turut hadir pada saat itu</w:t>
      </w:r>
      <w:r>
        <w:rPr>
          <w:rFonts w:ascii="Arial" w:hAnsi="Arial" w:cs="Arial"/>
          <w:noProof/>
          <w:sz w:val="24"/>
          <w:szCs w:val="24"/>
        </w:rPr>
        <w:t>.</w:t>
      </w:r>
    </w:p>
    <w:p w14:paraId="61CD1A98" w14:textId="113669EC" w:rsidR="001548B0" w:rsidRDefault="001548B0" w:rsidP="00F33860">
      <w:pPr>
        <w:jc w:val="both"/>
        <w:rPr>
          <w:rFonts w:ascii="Arial" w:hAnsi="Arial" w:cs="Arial"/>
          <w:noProof/>
          <w:sz w:val="24"/>
          <w:szCs w:val="24"/>
        </w:rPr>
      </w:pPr>
      <w:r>
        <w:rPr>
          <w:rFonts w:ascii="Arial" w:hAnsi="Arial" w:cs="Arial"/>
          <w:noProof/>
          <w:sz w:val="24"/>
          <w:szCs w:val="24"/>
        </w:rPr>
        <w:t xml:space="preserve">Majelis Hakim dalam pertimbangannya terdapat </w:t>
      </w:r>
      <w:r w:rsidRPr="001548B0">
        <w:rPr>
          <w:rFonts w:ascii="Arial" w:hAnsi="Arial" w:cs="Arial"/>
          <w:i/>
          <w:iCs/>
          <w:noProof/>
          <w:sz w:val="24"/>
          <w:szCs w:val="24"/>
        </w:rPr>
        <w:t>dissenting opinion</w:t>
      </w:r>
      <w:r>
        <w:rPr>
          <w:rFonts w:ascii="Arial" w:hAnsi="Arial" w:cs="Arial"/>
          <w:noProof/>
          <w:sz w:val="24"/>
          <w:szCs w:val="24"/>
        </w:rPr>
        <w:t xml:space="preserve"> (perbedaan pendapat) </w:t>
      </w:r>
      <w:r w:rsidR="00F86191">
        <w:rPr>
          <w:rFonts w:ascii="Arial" w:hAnsi="Arial" w:cs="Arial"/>
          <w:noProof/>
          <w:sz w:val="24"/>
          <w:szCs w:val="24"/>
        </w:rPr>
        <w:t xml:space="preserve">dengan Hakim Anggota II </w:t>
      </w:r>
      <w:r>
        <w:rPr>
          <w:rFonts w:ascii="Arial" w:hAnsi="Arial" w:cs="Arial"/>
          <w:noProof/>
          <w:sz w:val="24"/>
          <w:szCs w:val="24"/>
        </w:rPr>
        <w:t>yang akhirnya dalam amar putusan mengabulkan gugatan Pengugat untuk sebagian dan menghukum Tergugat mengganti rugi materiil kepada Penggugat Rp. 2.698.135.846 secara tanggung renteng dan kerugian immateriil</w:t>
      </w:r>
      <w:r w:rsidR="00F86191">
        <w:rPr>
          <w:rFonts w:ascii="Arial" w:hAnsi="Arial" w:cs="Arial"/>
          <w:noProof/>
          <w:sz w:val="24"/>
          <w:szCs w:val="24"/>
        </w:rPr>
        <w:t xml:space="preserve"> Rp. 500.000.000.</w:t>
      </w:r>
    </w:p>
    <w:p w14:paraId="6639C5D6" w14:textId="42AA6FDE" w:rsidR="00C32252" w:rsidRDefault="00345D1B" w:rsidP="00F33860">
      <w:pPr>
        <w:jc w:val="both"/>
        <w:rPr>
          <w:rFonts w:ascii="Arial" w:hAnsi="Arial" w:cs="Arial"/>
          <w:noProof/>
          <w:sz w:val="24"/>
          <w:szCs w:val="24"/>
        </w:rPr>
      </w:pPr>
      <w:r>
        <w:rPr>
          <w:rFonts w:ascii="Arial" w:hAnsi="Arial" w:cs="Arial"/>
          <w:noProof/>
          <w:sz w:val="24"/>
          <w:szCs w:val="24"/>
        </w:rPr>
        <w:t xml:space="preserve">Pada </w:t>
      </w:r>
      <w:r w:rsidR="002740C2">
        <w:rPr>
          <w:rFonts w:ascii="Arial" w:hAnsi="Arial" w:cs="Arial"/>
          <w:noProof/>
          <w:sz w:val="24"/>
          <w:szCs w:val="24"/>
        </w:rPr>
        <w:t>T</w:t>
      </w:r>
      <w:r w:rsidR="00F86191">
        <w:rPr>
          <w:rFonts w:ascii="Arial" w:hAnsi="Arial" w:cs="Arial"/>
          <w:noProof/>
          <w:sz w:val="24"/>
          <w:szCs w:val="24"/>
        </w:rPr>
        <w:t xml:space="preserve">ingkat </w:t>
      </w:r>
      <w:r w:rsidR="002740C2">
        <w:rPr>
          <w:rFonts w:ascii="Arial" w:hAnsi="Arial" w:cs="Arial"/>
          <w:noProof/>
          <w:sz w:val="24"/>
          <w:szCs w:val="24"/>
        </w:rPr>
        <w:t>B</w:t>
      </w:r>
      <w:r w:rsidR="00F86191">
        <w:rPr>
          <w:rFonts w:ascii="Arial" w:hAnsi="Arial" w:cs="Arial"/>
          <w:noProof/>
          <w:sz w:val="24"/>
          <w:szCs w:val="24"/>
        </w:rPr>
        <w:t xml:space="preserve">anding </w:t>
      </w:r>
      <w:r>
        <w:rPr>
          <w:rFonts w:ascii="Arial" w:hAnsi="Arial" w:cs="Arial"/>
          <w:noProof/>
          <w:sz w:val="24"/>
          <w:szCs w:val="24"/>
        </w:rPr>
        <w:t xml:space="preserve">di </w:t>
      </w:r>
      <w:r w:rsidR="00F86191">
        <w:rPr>
          <w:rFonts w:ascii="Arial" w:hAnsi="Arial" w:cs="Arial"/>
          <w:noProof/>
          <w:sz w:val="24"/>
          <w:szCs w:val="24"/>
        </w:rPr>
        <w:t xml:space="preserve">PT Banda Aceh, Majelis Hakim tidak sependapat dengan putusan </w:t>
      </w:r>
      <w:r>
        <w:rPr>
          <w:rFonts w:ascii="Arial" w:hAnsi="Arial" w:cs="Arial"/>
          <w:noProof/>
          <w:sz w:val="24"/>
          <w:szCs w:val="24"/>
        </w:rPr>
        <w:t>tersebut setelah mempelajari pertimbangan Hakim Anggota II Pengadilan Tingkat Pertama dan menjadikan pertimbangan tersebut sebagai pertimbangan Majelis Hakim Tingkat Banding</w:t>
      </w:r>
      <w:r w:rsidR="00C67F3E">
        <w:rPr>
          <w:rFonts w:ascii="Arial" w:hAnsi="Arial" w:cs="Arial"/>
          <w:noProof/>
          <w:sz w:val="24"/>
          <w:szCs w:val="24"/>
        </w:rPr>
        <w:t>, yaitu</w:t>
      </w:r>
      <w:r>
        <w:rPr>
          <w:rFonts w:ascii="Arial" w:hAnsi="Arial" w:cs="Arial"/>
          <w:noProof/>
          <w:sz w:val="24"/>
          <w:szCs w:val="24"/>
        </w:rPr>
        <w:t xml:space="preserve"> terkait penerapan asas hukum </w:t>
      </w:r>
      <w:r w:rsidRPr="00345D1B">
        <w:rPr>
          <w:rFonts w:ascii="Arial" w:hAnsi="Arial" w:cs="Arial"/>
          <w:i/>
          <w:iCs/>
          <w:noProof/>
          <w:sz w:val="24"/>
          <w:szCs w:val="24"/>
        </w:rPr>
        <w:t>Lex Specialist Derogat Lex Generally</w:t>
      </w:r>
      <w:r>
        <w:rPr>
          <w:rFonts w:ascii="Arial" w:hAnsi="Arial" w:cs="Arial"/>
          <w:i/>
          <w:iCs/>
          <w:noProof/>
          <w:sz w:val="24"/>
          <w:szCs w:val="24"/>
        </w:rPr>
        <w:t xml:space="preserve"> </w:t>
      </w:r>
      <w:r>
        <w:rPr>
          <w:rFonts w:ascii="Arial" w:hAnsi="Arial" w:cs="Arial"/>
          <w:noProof/>
          <w:sz w:val="24"/>
          <w:szCs w:val="24"/>
        </w:rPr>
        <w:t>(peraturan bersifat khusus mengenyampingkan peraturan bersifat umum).</w:t>
      </w:r>
    </w:p>
    <w:p w14:paraId="4810F5CE" w14:textId="7C6B699A" w:rsidR="00F86191" w:rsidRDefault="00345D1B" w:rsidP="00F33860">
      <w:pPr>
        <w:jc w:val="both"/>
        <w:rPr>
          <w:rFonts w:ascii="Arial" w:hAnsi="Arial" w:cs="Arial"/>
          <w:noProof/>
          <w:sz w:val="24"/>
          <w:szCs w:val="24"/>
        </w:rPr>
      </w:pPr>
      <w:r>
        <w:rPr>
          <w:rFonts w:ascii="Arial" w:hAnsi="Arial" w:cs="Arial"/>
          <w:noProof/>
          <w:sz w:val="24"/>
          <w:szCs w:val="24"/>
        </w:rPr>
        <w:t xml:space="preserve">Majelis menimbang Dokumen Pemilihan bersifat khusus, sedangkan Peraturan Rektor </w:t>
      </w:r>
      <w:r w:rsidR="00C32252">
        <w:rPr>
          <w:rFonts w:ascii="Arial" w:hAnsi="Arial" w:cs="Arial"/>
          <w:noProof/>
          <w:sz w:val="24"/>
          <w:szCs w:val="24"/>
        </w:rPr>
        <w:t>Universitas Syiah Kuala yang dimaksud bersifat umum dan harus sejalan dengan Perpres tentang Pengadaan Barang/Jasa Pemerintah.</w:t>
      </w:r>
      <w:r w:rsidR="00C67F3E">
        <w:rPr>
          <w:rFonts w:ascii="Arial" w:hAnsi="Arial" w:cs="Arial"/>
          <w:noProof/>
          <w:sz w:val="24"/>
          <w:szCs w:val="24"/>
        </w:rPr>
        <w:t xml:space="preserve"> </w:t>
      </w:r>
      <w:r w:rsidR="002740C2">
        <w:rPr>
          <w:rFonts w:ascii="Arial" w:hAnsi="Arial" w:cs="Arial"/>
          <w:noProof/>
          <w:sz w:val="24"/>
          <w:szCs w:val="24"/>
        </w:rPr>
        <w:t xml:space="preserve">Majelis </w:t>
      </w:r>
      <w:r w:rsidR="007F51C2">
        <w:rPr>
          <w:rFonts w:ascii="Arial" w:hAnsi="Arial" w:cs="Arial"/>
          <w:noProof/>
          <w:sz w:val="24"/>
          <w:szCs w:val="24"/>
        </w:rPr>
        <w:t>lalu membatalkan</w:t>
      </w:r>
      <w:r w:rsidR="002740C2">
        <w:rPr>
          <w:rFonts w:ascii="Arial" w:hAnsi="Arial" w:cs="Arial"/>
          <w:noProof/>
          <w:sz w:val="24"/>
          <w:szCs w:val="24"/>
        </w:rPr>
        <w:t xml:space="preserve"> Putusan Tingkat Pertama tersebut dan menolak gugatan Penggugat untuk seluruhnya. </w:t>
      </w:r>
      <w:r w:rsidR="000869F5">
        <w:rPr>
          <w:rFonts w:ascii="Arial" w:hAnsi="Arial" w:cs="Arial"/>
          <w:noProof/>
          <w:sz w:val="24"/>
          <w:szCs w:val="24"/>
        </w:rPr>
        <w:t>Di Tingkat Kasasi, Majelis Hakim Agung menimbang Judex Facti PT Banda Aceh sudah benar dalam penerapan hukum sehingga permohonan kasasi Penggugat ditolak.</w:t>
      </w:r>
    </w:p>
    <w:p w14:paraId="77F92BA8" w14:textId="1EAD603D" w:rsidR="00F33860" w:rsidRPr="001966E2" w:rsidRDefault="00F33860" w:rsidP="00F33860">
      <w:pPr>
        <w:jc w:val="both"/>
        <w:rPr>
          <w:rFonts w:ascii="Arial" w:hAnsi="Arial" w:cs="Arial"/>
          <w:noProof/>
          <w:sz w:val="24"/>
          <w:szCs w:val="24"/>
        </w:rPr>
      </w:pPr>
    </w:p>
    <w:p w14:paraId="2D0CCA83" w14:textId="783C8219" w:rsidR="00F33860" w:rsidRDefault="00F33860" w:rsidP="00F33860">
      <w:pPr>
        <w:jc w:val="both"/>
        <w:rPr>
          <w:rFonts w:ascii="Arial" w:hAnsi="Arial" w:cs="Arial"/>
          <w:noProof/>
          <w:sz w:val="24"/>
          <w:szCs w:val="24"/>
        </w:rPr>
      </w:pPr>
      <w:r>
        <w:rPr>
          <w:rFonts w:ascii="Arial" w:hAnsi="Arial" w:cs="Arial"/>
          <w:noProof/>
          <w:sz w:val="24"/>
          <w:szCs w:val="24"/>
        </w:rPr>
        <w:t>→ Putusan Mahkamah Agung Nomor 4645 K/PDT/2022, Tanggal 20 Desember 2022</w:t>
      </w:r>
    </w:p>
    <w:p w14:paraId="5EC1CE71" w14:textId="26593A34" w:rsidR="00F33860" w:rsidRDefault="00F33860" w:rsidP="00F33860">
      <w:pPr>
        <w:jc w:val="both"/>
        <w:rPr>
          <w:rFonts w:ascii="Arial" w:hAnsi="Arial" w:cs="Arial"/>
          <w:noProof/>
          <w:sz w:val="24"/>
          <w:szCs w:val="24"/>
        </w:rPr>
      </w:pPr>
      <w:r>
        <w:rPr>
          <w:rFonts w:ascii="Arial" w:hAnsi="Arial" w:cs="Arial"/>
          <w:noProof/>
          <w:sz w:val="24"/>
          <w:szCs w:val="24"/>
        </w:rPr>
        <w:t xml:space="preserve">Sumber: </w:t>
      </w:r>
      <w:hyperlink r:id="rId5" w:history="1">
        <w:r w:rsidRPr="009C6F84">
          <w:rPr>
            <w:rStyle w:val="Hyperlink"/>
            <w:rFonts w:ascii="Arial" w:hAnsi="Arial" w:cs="Arial"/>
            <w:noProof/>
            <w:sz w:val="24"/>
            <w:szCs w:val="24"/>
          </w:rPr>
          <w:t>https://putusan3.mahkamahagung.go.id/direktori/putusan/zaedcec9cfc8044a9802313430393238.html</w:t>
        </w:r>
      </w:hyperlink>
      <w:r>
        <w:rPr>
          <w:rFonts w:ascii="Arial" w:hAnsi="Arial" w:cs="Arial"/>
          <w:noProof/>
          <w:sz w:val="24"/>
          <w:szCs w:val="24"/>
        </w:rPr>
        <w:t xml:space="preserve"> </w:t>
      </w:r>
    </w:p>
    <w:p w14:paraId="4C19B07F" w14:textId="77777777" w:rsidR="00F33860" w:rsidRPr="00645E16" w:rsidRDefault="00F33860" w:rsidP="00F33860">
      <w:pPr>
        <w:spacing w:after="0"/>
        <w:jc w:val="both"/>
        <w:rPr>
          <w:rFonts w:ascii="Arial" w:hAnsi="Arial" w:cs="Arial"/>
          <w:sz w:val="24"/>
          <w:szCs w:val="24"/>
        </w:rPr>
      </w:pPr>
    </w:p>
    <w:p w14:paraId="1094E41D" w14:textId="77777777" w:rsidR="00F33860" w:rsidRDefault="00F33860" w:rsidP="00F33860">
      <w:pPr>
        <w:spacing w:after="0"/>
        <w:jc w:val="both"/>
        <w:rPr>
          <w:rFonts w:ascii="Arial" w:hAnsi="Arial" w:cs="Arial"/>
          <w:noProof/>
          <w:sz w:val="24"/>
          <w:szCs w:val="24"/>
        </w:rPr>
      </w:pPr>
      <w:r>
        <w:rPr>
          <w:rFonts w:ascii="Arial" w:hAnsi="Arial" w:cs="Arial"/>
          <w:noProof/>
          <w:sz w:val="24"/>
          <w:szCs w:val="24"/>
        </w:rPr>
        <w:t>Salam Pengadaan,</w:t>
      </w:r>
    </w:p>
    <w:p w14:paraId="3AFFD632" w14:textId="77777777" w:rsidR="00F33860" w:rsidRDefault="00F33860" w:rsidP="00F33860">
      <w:pPr>
        <w:spacing w:after="0"/>
        <w:jc w:val="both"/>
        <w:rPr>
          <w:rFonts w:ascii="Arial" w:hAnsi="Arial" w:cs="Arial"/>
          <w:noProof/>
          <w:sz w:val="24"/>
          <w:szCs w:val="24"/>
        </w:rPr>
      </w:pPr>
      <w:r>
        <w:rPr>
          <w:rFonts w:ascii="Arial" w:hAnsi="Arial" w:cs="Arial"/>
          <w:noProof/>
          <w:sz w:val="24"/>
          <w:szCs w:val="24"/>
        </w:rPr>
        <w:t>LBH Pengadaan Publik Indonesia</w:t>
      </w:r>
    </w:p>
    <w:p w14:paraId="29C569E8" w14:textId="1F5B6D33" w:rsidR="007C6969" w:rsidRPr="00DE3D15" w:rsidRDefault="00F33860" w:rsidP="00DE3D15">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sectPr w:rsidR="007C6969" w:rsidRPr="00DE3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25C6C"/>
    <w:multiLevelType w:val="hybridMultilevel"/>
    <w:tmpl w:val="B3626038"/>
    <w:lvl w:ilvl="0" w:tplc="94D89482">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357536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860"/>
    <w:rsid w:val="000869F5"/>
    <w:rsid w:val="001548B0"/>
    <w:rsid w:val="001F41EF"/>
    <w:rsid w:val="002740C2"/>
    <w:rsid w:val="00345D1B"/>
    <w:rsid w:val="003D3396"/>
    <w:rsid w:val="00422ADC"/>
    <w:rsid w:val="004C4BC3"/>
    <w:rsid w:val="004F25A0"/>
    <w:rsid w:val="006B7B1A"/>
    <w:rsid w:val="00776034"/>
    <w:rsid w:val="007C6969"/>
    <w:rsid w:val="007F51C2"/>
    <w:rsid w:val="00991187"/>
    <w:rsid w:val="00B018EC"/>
    <w:rsid w:val="00C32252"/>
    <w:rsid w:val="00C67F3E"/>
    <w:rsid w:val="00D8354A"/>
    <w:rsid w:val="00DE3D15"/>
    <w:rsid w:val="00DF626E"/>
    <w:rsid w:val="00EB14FD"/>
    <w:rsid w:val="00F33860"/>
    <w:rsid w:val="00F86191"/>
    <w:rsid w:val="00FA0FF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2B3B3"/>
  <w15:chartTrackingRefBased/>
  <w15:docId w15:val="{C8DD1B99-662E-4C2E-ABF6-950405107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860"/>
  </w:style>
  <w:style w:type="paragraph" w:styleId="Heading1">
    <w:name w:val="heading 1"/>
    <w:basedOn w:val="Normal"/>
    <w:next w:val="Normal"/>
    <w:link w:val="Heading1Char"/>
    <w:uiPriority w:val="9"/>
    <w:qFormat/>
    <w:rsid w:val="00F338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38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38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38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38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38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8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8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8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8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38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38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38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38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38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8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8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860"/>
    <w:rPr>
      <w:rFonts w:eastAsiaTheme="majorEastAsia" w:cstheme="majorBidi"/>
      <w:color w:val="272727" w:themeColor="text1" w:themeTint="D8"/>
    </w:rPr>
  </w:style>
  <w:style w:type="paragraph" w:styleId="Title">
    <w:name w:val="Title"/>
    <w:basedOn w:val="Normal"/>
    <w:next w:val="Normal"/>
    <w:link w:val="TitleChar"/>
    <w:uiPriority w:val="10"/>
    <w:qFormat/>
    <w:rsid w:val="00F338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8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8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8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860"/>
    <w:pPr>
      <w:spacing w:before="160"/>
      <w:jc w:val="center"/>
    </w:pPr>
    <w:rPr>
      <w:i/>
      <w:iCs/>
      <w:color w:val="404040" w:themeColor="text1" w:themeTint="BF"/>
    </w:rPr>
  </w:style>
  <w:style w:type="character" w:customStyle="1" w:styleId="QuoteChar">
    <w:name w:val="Quote Char"/>
    <w:basedOn w:val="DefaultParagraphFont"/>
    <w:link w:val="Quote"/>
    <w:uiPriority w:val="29"/>
    <w:rsid w:val="00F33860"/>
    <w:rPr>
      <w:i/>
      <w:iCs/>
      <w:color w:val="404040" w:themeColor="text1" w:themeTint="BF"/>
    </w:rPr>
  </w:style>
  <w:style w:type="paragraph" w:styleId="ListParagraph">
    <w:name w:val="List Paragraph"/>
    <w:basedOn w:val="Normal"/>
    <w:uiPriority w:val="34"/>
    <w:qFormat/>
    <w:rsid w:val="00F33860"/>
    <w:pPr>
      <w:ind w:left="720"/>
      <w:contextualSpacing/>
    </w:pPr>
  </w:style>
  <w:style w:type="character" w:styleId="IntenseEmphasis">
    <w:name w:val="Intense Emphasis"/>
    <w:basedOn w:val="DefaultParagraphFont"/>
    <w:uiPriority w:val="21"/>
    <w:qFormat/>
    <w:rsid w:val="00F33860"/>
    <w:rPr>
      <w:i/>
      <w:iCs/>
      <w:color w:val="2F5496" w:themeColor="accent1" w:themeShade="BF"/>
    </w:rPr>
  </w:style>
  <w:style w:type="paragraph" w:styleId="IntenseQuote">
    <w:name w:val="Intense Quote"/>
    <w:basedOn w:val="Normal"/>
    <w:next w:val="Normal"/>
    <w:link w:val="IntenseQuoteChar"/>
    <w:uiPriority w:val="30"/>
    <w:qFormat/>
    <w:rsid w:val="00F338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3860"/>
    <w:rPr>
      <w:i/>
      <w:iCs/>
      <w:color w:val="2F5496" w:themeColor="accent1" w:themeShade="BF"/>
    </w:rPr>
  </w:style>
  <w:style w:type="character" w:styleId="IntenseReference">
    <w:name w:val="Intense Reference"/>
    <w:basedOn w:val="DefaultParagraphFont"/>
    <w:uiPriority w:val="32"/>
    <w:qFormat/>
    <w:rsid w:val="00F33860"/>
    <w:rPr>
      <w:b/>
      <w:bCs/>
      <w:smallCaps/>
      <w:color w:val="2F5496" w:themeColor="accent1" w:themeShade="BF"/>
      <w:spacing w:val="5"/>
    </w:rPr>
  </w:style>
  <w:style w:type="character" w:styleId="Hyperlink">
    <w:name w:val="Hyperlink"/>
    <w:basedOn w:val="DefaultParagraphFont"/>
    <w:uiPriority w:val="99"/>
    <w:unhideWhenUsed/>
    <w:rsid w:val="00F33860"/>
    <w:rPr>
      <w:color w:val="0563C1" w:themeColor="hyperlink"/>
      <w:u w:val="single"/>
    </w:rPr>
  </w:style>
  <w:style w:type="character" w:styleId="UnresolvedMention">
    <w:name w:val="Unresolved Mention"/>
    <w:basedOn w:val="DefaultParagraphFont"/>
    <w:uiPriority w:val="99"/>
    <w:semiHidden/>
    <w:unhideWhenUsed/>
    <w:rsid w:val="00F33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dcec9cfc8044a9802313430393238.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4</cp:revision>
  <dcterms:created xsi:type="dcterms:W3CDTF">2025-09-08T05:50:00Z</dcterms:created>
  <dcterms:modified xsi:type="dcterms:W3CDTF">2025-09-09T09:34:00Z</dcterms:modified>
</cp:coreProperties>
</file>