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A05BD" w14:textId="31334956" w:rsidR="007C6969" w:rsidRDefault="00FD6571" w:rsidP="00EB4270">
      <w:pPr>
        <w:spacing w:after="0"/>
        <w:jc w:val="both"/>
        <w:rPr>
          <w:rFonts w:ascii="Arial" w:hAnsi="Arial" w:cs="Arial"/>
          <w:noProof/>
          <w:sz w:val="24"/>
          <w:szCs w:val="24"/>
        </w:rPr>
      </w:pPr>
      <w:r w:rsidRPr="008D1C7C">
        <w:rPr>
          <w:rFonts w:ascii="Arial" w:hAnsi="Arial" w:cs="Arial"/>
          <w:b/>
          <w:bCs/>
          <w:noProof/>
          <w:sz w:val="24"/>
          <w:szCs w:val="24"/>
        </w:rPr>
        <w:t>Pencerahan Hukum</w:t>
      </w:r>
      <w:r w:rsidR="008D1C7C">
        <w:rPr>
          <w:rFonts w:ascii="Arial" w:hAnsi="Arial" w:cs="Arial"/>
          <w:noProof/>
          <w:sz w:val="24"/>
          <w:szCs w:val="24"/>
        </w:rPr>
        <w:t xml:space="preserve"> </w:t>
      </w:r>
      <w:r w:rsidR="008D1C7C">
        <w:rPr>
          <w:rFonts w:ascii="Arial" w:hAnsi="Arial" w:cs="Arial"/>
          <w:b/>
          <w:bCs/>
          <w:noProof/>
          <w:sz w:val="24"/>
          <w:szCs w:val="24"/>
        </w:rPr>
        <w:t>Hari Ini</w:t>
      </w:r>
    </w:p>
    <w:p w14:paraId="1500A297" w14:textId="4A8A11BE" w:rsidR="00FB2116" w:rsidRDefault="00EB0AEC" w:rsidP="00EB4270">
      <w:pPr>
        <w:jc w:val="both"/>
        <w:rPr>
          <w:rFonts w:ascii="Arial" w:hAnsi="Arial" w:cs="Arial"/>
          <w:b/>
          <w:bCs/>
          <w:noProof/>
          <w:sz w:val="24"/>
          <w:szCs w:val="24"/>
        </w:rPr>
      </w:pPr>
      <w:r>
        <w:rPr>
          <w:rFonts w:ascii="Arial" w:hAnsi="Arial" w:cs="Arial"/>
          <w:b/>
          <w:bCs/>
          <w:noProof/>
          <w:sz w:val="24"/>
          <w:szCs w:val="24"/>
        </w:rPr>
        <w:t>Senin</w:t>
      </w:r>
      <w:r w:rsidR="008D1C7C">
        <w:rPr>
          <w:rFonts w:ascii="Arial" w:hAnsi="Arial" w:cs="Arial"/>
          <w:b/>
          <w:bCs/>
          <w:noProof/>
          <w:sz w:val="24"/>
          <w:szCs w:val="24"/>
        </w:rPr>
        <w:t xml:space="preserve">, </w:t>
      </w:r>
      <w:r>
        <w:rPr>
          <w:rFonts w:ascii="Arial" w:hAnsi="Arial" w:cs="Arial"/>
          <w:b/>
          <w:bCs/>
          <w:noProof/>
          <w:sz w:val="24"/>
          <w:szCs w:val="24"/>
        </w:rPr>
        <w:t>8 September</w:t>
      </w:r>
      <w:r w:rsidR="008D1C7C">
        <w:rPr>
          <w:rFonts w:ascii="Arial" w:hAnsi="Arial" w:cs="Arial"/>
          <w:b/>
          <w:bCs/>
          <w:noProof/>
          <w:sz w:val="24"/>
          <w:szCs w:val="24"/>
        </w:rPr>
        <w:t xml:space="preserve"> 2025</w:t>
      </w:r>
    </w:p>
    <w:p w14:paraId="14D2CADE" w14:textId="43C5C418" w:rsidR="00FB2116" w:rsidRDefault="00FB2116" w:rsidP="00EB4270">
      <w:pPr>
        <w:jc w:val="both"/>
        <w:rPr>
          <w:rFonts w:ascii="Arial" w:hAnsi="Arial" w:cs="Arial"/>
          <w:b/>
          <w:bCs/>
          <w:noProof/>
          <w:sz w:val="24"/>
          <w:szCs w:val="24"/>
        </w:rPr>
      </w:pPr>
      <w:r w:rsidRPr="00FB2116">
        <w:rPr>
          <w:rFonts w:ascii="Arial" w:hAnsi="Arial" w:cs="Arial"/>
          <w:b/>
          <w:bCs/>
          <w:noProof/>
          <w:sz w:val="24"/>
          <w:szCs w:val="24"/>
        </w:rPr>
        <w:t xml:space="preserve">PENYEDIA DALAM PROSES ADMINISTRASI PENAWARAN TENDER PENGADAAN HARUS IKUT MELAMPIRKAN PERSYARATAN TEKNIS DAN KESELAMATAN MESKIPUN TIDAK MENJADI SYARAT DALAM KERANGKA ACUAN KERJA PENGADAAN </w:t>
      </w:r>
    </w:p>
    <w:p w14:paraId="096BF9F3" w14:textId="77777777" w:rsidR="00FB2116" w:rsidRDefault="00FB2116" w:rsidP="00EB4270">
      <w:pPr>
        <w:jc w:val="both"/>
        <w:rPr>
          <w:rFonts w:ascii="Arial" w:hAnsi="Arial" w:cs="Arial"/>
          <w:noProof/>
          <w:sz w:val="24"/>
          <w:szCs w:val="24"/>
        </w:rPr>
      </w:pPr>
    </w:p>
    <w:p w14:paraId="5BB13E53" w14:textId="2EAA1B59" w:rsidR="008B79FD" w:rsidRDefault="00FB2116" w:rsidP="00EB4270">
      <w:pPr>
        <w:jc w:val="both"/>
        <w:rPr>
          <w:rFonts w:ascii="Arial" w:hAnsi="Arial" w:cs="Arial"/>
          <w:noProof/>
          <w:sz w:val="24"/>
          <w:szCs w:val="24"/>
        </w:rPr>
      </w:pPr>
      <w:r w:rsidRPr="00FB2116">
        <w:rPr>
          <w:rFonts w:ascii="Arial" w:hAnsi="Arial" w:cs="Arial"/>
          <w:noProof/>
          <w:sz w:val="24"/>
          <w:szCs w:val="24"/>
        </w:rPr>
        <w:t xml:space="preserve">Pokja (Tergugat) dalam proyek Pengadaan dan Pemasangan Lampu Penerangan Jalan Umum di Kabupaten Pelalawan dan Kabupaten Siak telah mengeluarkan Keputusan tentang pengumuman pemenang lelang/tender, yaitu CV. Rajawali Perkasa. Namun, PT Berkah Bersama Kontrakator (Penggugat) sebagai salah satu peserta penawaran tender mengajukan gugatan ke PTUN Pekanbaru </w:t>
      </w:r>
      <w:r w:rsidR="005B5EFF">
        <w:rPr>
          <w:rFonts w:ascii="Arial" w:hAnsi="Arial" w:cs="Arial"/>
          <w:noProof/>
          <w:sz w:val="24"/>
          <w:szCs w:val="24"/>
        </w:rPr>
        <w:t>karena</w:t>
      </w:r>
      <w:r w:rsidRPr="00FB2116">
        <w:rPr>
          <w:rFonts w:ascii="Arial" w:hAnsi="Arial" w:cs="Arial"/>
          <w:noProof/>
          <w:sz w:val="24"/>
          <w:szCs w:val="24"/>
        </w:rPr>
        <w:t xml:space="preserve"> pemenang tidak punya Tanda Daftar Badan Usaha Penyedia Bahan Perlengkapan Jalan (TD-BUPBPJ) sehingga tidak memenuhi administrasi.</w:t>
      </w:r>
      <w:r w:rsidR="008B79FD">
        <w:rPr>
          <w:rFonts w:ascii="Arial" w:hAnsi="Arial" w:cs="Arial"/>
          <w:noProof/>
          <w:sz w:val="24"/>
          <w:szCs w:val="24"/>
        </w:rPr>
        <w:t xml:space="preserve"> </w:t>
      </w:r>
    </w:p>
    <w:p w14:paraId="5EEDC0EE" w14:textId="0F8E0F58" w:rsidR="008B79FD" w:rsidRDefault="00FB2116" w:rsidP="00EB4270">
      <w:pPr>
        <w:jc w:val="both"/>
        <w:rPr>
          <w:rFonts w:ascii="Arial" w:hAnsi="Arial" w:cs="Arial"/>
          <w:noProof/>
          <w:sz w:val="24"/>
          <w:szCs w:val="24"/>
        </w:rPr>
      </w:pPr>
      <w:r w:rsidRPr="00FB2116">
        <w:rPr>
          <w:rFonts w:ascii="Arial" w:hAnsi="Arial" w:cs="Arial"/>
          <w:noProof/>
          <w:sz w:val="24"/>
          <w:szCs w:val="24"/>
        </w:rPr>
        <w:t>Tergugat</w:t>
      </w:r>
      <w:r w:rsidR="005B5EFF">
        <w:rPr>
          <w:rFonts w:ascii="Arial" w:hAnsi="Arial" w:cs="Arial"/>
          <w:noProof/>
          <w:sz w:val="24"/>
          <w:szCs w:val="24"/>
        </w:rPr>
        <w:t xml:space="preserve"> (Pokja)</w:t>
      </w:r>
      <w:r w:rsidRPr="00FB2116">
        <w:rPr>
          <w:rFonts w:ascii="Arial" w:hAnsi="Arial" w:cs="Arial"/>
          <w:noProof/>
          <w:sz w:val="24"/>
          <w:szCs w:val="24"/>
        </w:rPr>
        <w:t xml:space="preserve"> dalam jawabannya menjelaskan bahwa pemenang telah memenuhi persyaratan yang sesuai dengan Kerangka Acuan Kerja (KAK) Pengadaan dan TD-BUPBPJ tidak termasuk dalam persyaratannya. Majelis Hakim kemudian memberi pertimbangan hukum bahwa dokumen yang dilengkapi penawar tender harus pula memenuhi persyaratan teknis dan persyaratan keselamatan, sehingga TD-BUPBPJ merupakan hal yang wajib juga dipenuhi oleh penyedia perlengkapan pengadaan ini meskipun di dalam KAK Pengadaan tidak dimasukkan sebagai bagian dari persyaratan.</w:t>
      </w:r>
    </w:p>
    <w:p w14:paraId="4280017C" w14:textId="5D977FA5" w:rsidR="00FB2116" w:rsidRDefault="005B5EFF" w:rsidP="00EB4270">
      <w:pPr>
        <w:jc w:val="both"/>
        <w:rPr>
          <w:rFonts w:ascii="Arial" w:hAnsi="Arial" w:cs="Arial"/>
          <w:noProof/>
          <w:sz w:val="24"/>
          <w:szCs w:val="24"/>
        </w:rPr>
      </w:pPr>
      <w:r w:rsidRPr="005B5EFF">
        <w:rPr>
          <w:rFonts w:ascii="Arial" w:hAnsi="Arial" w:cs="Arial"/>
          <w:noProof/>
          <w:sz w:val="24"/>
          <w:szCs w:val="24"/>
        </w:rPr>
        <w:t>Dalam putusannya Majelis Hakim membatalkan keputusan yang dikeluarkan dan mewajibkan Tergugat (Pokja) untuk mencabutnya. Putusan ini juga dikuatkan pada tingkat banding dan pada tingkat kasasi Majelis Hakim juga menyatakan bahwa putusan Judex Facti sudah benar berdasarkan Pasal 51 ayat (2) huruf d Perpu No. 16 Tahun 2018 tentang Pengadaan Barang/Jasa Pemerintah menyebutkan bahwa tender/seleksi dinyatakan gagal apabila ditemukan kesalahan dalam dokumen pemilihan atau tidak sesuai dengan ketentuan dalam Peraturan Presiden ini.</w:t>
      </w:r>
    </w:p>
    <w:p w14:paraId="219DE53A" w14:textId="77777777" w:rsidR="005B5EFF" w:rsidRDefault="005B5EFF" w:rsidP="00EB4270">
      <w:pPr>
        <w:jc w:val="both"/>
        <w:rPr>
          <w:rFonts w:ascii="Arial" w:hAnsi="Arial" w:cs="Arial"/>
          <w:noProof/>
          <w:sz w:val="24"/>
          <w:szCs w:val="24"/>
        </w:rPr>
      </w:pPr>
    </w:p>
    <w:p w14:paraId="5BC12ADE" w14:textId="6AF134B5" w:rsidR="008D1C7C" w:rsidRDefault="00EB4270" w:rsidP="00EB4270">
      <w:pPr>
        <w:jc w:val="both"/>
        <w:rPr>
          <w:rFonts w:ascii="Arial" w:hAnsi="Arial" w:cs="Arial"/>
          <w:noProof/>
          <w:sz w:val="24"/>
          <w:szCs w:val="24"/>
        </w:rPr>
      </w:pPr>
      <w:r>
        <w:rPr>
          <w:rFonts w:ascii="Arial" w:hAnsi="Arial" w:cs="Arial"/>
          <w:noProof/>
          <w:sz w:val="24"/>
          <w:szCs w:val="24"/>
        </w:rPr>
        <w:t xml:space="preserve">→ </w:t>
      </w:r>
      <w:r w:rsidR="008D1C7C">
        <w:rPr>
          <w:rFonts w:ascii="Arial" w:hAnsi="Arial" w:cs="Arial"/>
          <w:noProof/>
          <w:sz w:val="24"/>
          <w:szCs w:val="24"/>
        </w:rPr>
        <w:t>Putusan Mahkamah Agung Nomor 367 K/TUN/2020</w:t>
      </w:r>
      <w:r>
        <w:rPr>
          <w:rFonts w:ascii="Arial" w:hAnsi="Arial" w:cs="Arial"/>
          <w:noProof/>
          <w:sz w:val="24"/>
          <w:szCs w:val="24"/>
        </w:rPr>
        <w:t>, tanggal 28 September 2020</w:t>
      </w:r>
    </w:p>
    <w:p w14:paraId="1C965E2B" w14:textId="5AD21C68" w:rsidR="008D1C7C" w:rsidRDefault="00EB4270" w:rsidP="00EB4270">
      <w:pPr>
        <w:jc w:val="both"/>
        <w:rPr>
          <w:rFonts w:ascii="Arial" w:hAnsi="Arial" w:cs="Arial"/>
          <w:noProof/>
          <w:sz w:val="24"/>
          <w:szCs w:val="24"/>
        </w:rPr>
      </w:pPr>
      <w:r>
        <w:rPr>
          <w:rFonts w:ascii="Arial" w:hAnsi="Arial" w:cs="Arial"/>
          <w:noProof/>
          <w:sz w:val="24"/>
          <w:szCs w:val="24"/>
        </w:rPr>
        <w:t xml:space="preserve">Sumber: </w:t>
      </w:r>
      <w:hyperlink r:id="rId5" w:history="1">
        <w:r w:rsidRPr="006558DA">
          <w:rPr>
            <w:rStyle w:val="Hyperlink"/>
            <w:rFonts w:ascii="Arial" w:hAnsi="Arial" w:cs="Arial"/>
            <w:noProof/>
            <w:sz w:val="24"/>
            <w:szCs w:val="24"/>
          </w:rPr>
          <w:t>https://putusan3.mahkamahagung.go.id/direktori/putusan/zaeb412e4536c4feb746313934303535.html</w:t>
        </w:r>
      </w:hyperlink>
    </w:p>
    <w:p w14:paraId="1308E8EF" w14:textId="0F252FDC" w:rsidR="00EB4270" w:rsidRDefault="00EB4270" w:rsidP="00EB4270">
      <w:pPr>
        <w:spacing w:after="0"/>
        <w:jc w:val="both"/>
        <w:rPr>
          <w:rFonts w:ascii="Arial" w:hAnsi="Arial" w:cs="Arial"/>
          <w:noProof/>
          <w:sz w:val="24"/>
          <w:szCs w:val="24"/>
        </w:rPr>
      </w:pPr>
      <w:r>
        <w:rPr>
          <w:rFonts w:ascii="Arial" w:hAnsi="Arial" w:cs="Arial"/>
          <w:noProof/>
          <w:sz w:val="24"/>
          <w:szCs w:val="24"/>
        </w:rPr>
        <w:t>Salam Pengadaan,</w:t>
      </w:r>
    </w:p>
    <w:p w14:paraId="0F08A9E4" w14:textId="77777777" w:rsidR="00EB4270" w:rsidRDefault="00EB4270" w:rsidP="00EB4270">
      <w:pPr>
        <w:spacing w:after="0"/>
        <w:jc w:val="both"/>
        <w:rPr>
          <w:rFonts w:ascii="Arial" w:hAnsi="Arial" w:cs="Arial"/>
          <w:noProof/>
          <w:sz w:val="24"/>
          <w:szCs w:val="24"/>
        </w:rPr>
      </w:pPr>
      <w:r>
        <w:rPr>
          <w:rFonts w:ascii="Arial" w:hAnsi="Arial" w:cs="Arial"/>
          <w:noProof/>
          <w:sz w:val="24"/>
          <w:szCs w:val="24"/>
        </w:rPr>
        <w:t>Ketua LBH Pengadaan Publik Indonesia</w:t>
      </w:r>
    </w:p>
    <w:p w14:paraId="2978F20F" w14:textId="09F1BD56" w:rsidR="00EB4270" w:rsidRDefault="00EB4270" w:rsidP="00EB4270">
      <w:pPr>
        <w:spacing w:after="0"/>
        <w:jc w:val="both"/>
        <w:rPr>
          <w:rFonts w:ascii="Arial" w:hAnsi="Arial" w:cs="Arial"/>
          <w:noProof/>
          <w:sz w:val="24"/>
          <w:szCs w:val="24"/>
        </w:rPr>
      </w:pPr>
      <w:r>
        <w:rPr>
          <w:rFonts w:ascii="Arial" w:hAnsi="Arial" w:cs="Arial"/>
          <w:noProof/>
          <w:sz w:val="24"/>
          <w:szCs w:val="24"/>
        </w:rPr>
        <w:t>Fredrik J. Pinakunary</w:t>
      </w:r>
      <w:r w:rsidR="006225AC">
        <w:rPr>
          <w:rFonts w:ascii="Arial" w:hAnsi="Arial" w:cs="Arial"/>
          <w:noProof/>
          <w:sz w:val="24"/>
          <w:szCs w:val="24"/>
        </w:rPr>
        <w:t xml:space="preserve"> </w:t>
      </w:r>
      <w:r w:rsidR="006225AC" w:rsidRPr="006225AC">
        <w:rPr>
          <w:rFonts w:ascii="Arial" w:hAnsi="Arial" w:cs="Arial"/>
          <w:noProof/>
          <w:sz w:val="24"/>
          <w:szCs w:val="24"/>
        </w:rPr>
        <w:t>&amp; Nila Aulia</w:t>
      </w:r>
    </w:p>
    <w:p w14:paraId="25F4D44D" w14:textId="4972FF83" w:rsidR="008D1C7C" w:rsidRPr="00CB22EB" w:rsidRDefault="008D1C7C" w:rsidP="00EB4270">
      <w:pPr>
        <w:jc w:val="both"/>
        <w:rPr>
          <w:rFonts w:ascii="Arial" w:hAnsi="Arial" w:cs="Arial"/>
          <w:noProof/>
          <w:sz w:val="24"/>
          <w:szCs w:val="24"/>
        </w:rPr>
      </w:pPr>
    </w:p>
    <w:sectPr w:rsidR="008D1C7C" w:rsidRPr="00CB22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B7FF2"/>
    <w:multiLevelType w:val="hybridMultilevel"/>
    <w:tmpl w:val="1F042278"/>
    <w:lvl w:ilvl="0" w:tplc="02666848">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97409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571"/>
    <w:rsid w:val="001F5BA5"/>
    <w:rsid w:val="002B1EFB"/>
    <w:rsid w:val="002E6D3F"/>
    <w:rsid w:val="00370A4A"/>
    <w:rsid w:val="003C10B6"/>
    <w:rsid w:val="003E0FA6"/>
    <w:rsid w:val="00422ADC"/>
    <w:rsid w:val="00451FB0"/>
    <w:rsid w:val="0049114C"/>
    <w:rsid w:val="004B5FEC"/>
    <w:rsid w:val="005B09B7"/>
    <w:rsid w:val="005B5EFF"/>
    <w:rsid w:val="005F6D5B"/>
    <w:rsid w:val="006225AC"/>
    <w:rsid w:val="006B1B64"/>
    <w:rsid w:val="00706055"/>
    <w:rsid w:val="00776034"/>
    <w:rsid w:val="007C6969"/>
    <w:rsid w:val="007F21FA"/>
    <w:rsid w:val="008305C0"/>
    <w:rsid w:val="008B79FD"/>
    <w:rsid w:val="008D1C7C"/>
    <w:rsid w:val="00910255"/>
    <w:rsid w:val="0097540A"/>
    <w:rsid w:val="009C25C3"/>
    <w:rsid w:val="00AB1C79"/>
    <w:rsid w:val="00B073F0"/>
    <w:rsid w:val="00B72637"/>
    <w:rsid w:val="00C8670D"/>
    <w:rsid w:val="00CB22EB"/>
    <w:rsid w:val="00D1449E"/>
    <w:rsid w:val="00DD4FA8"/>
    <w:rsid w:val="00E21D3D"/>
    <w:rsid w:val="00EA1789"/>
    <w:rsid w:val="00EB0AEC"/>
    <w:rsid w:val="00EB4270"/>
    <w:rsid w:val="00EC017B"/>
    <w:rsid w:val="00F30790"/>
    <w:rsid w:val="00FB2116"/>
    <w:rsid w:val="00FD6571"/>
    <w:rsid w:val="00FF6A8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A1785"/>
  <w15:chartTrackingRefBased/>
  <w15:docId w15:val="{FCBC07A6-3C91-41D7-9069-27B45FC5D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65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65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65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65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65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65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5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5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5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5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65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65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65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65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6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571"/>
    <w:rPr>
      <w:rFonts w:eastAsiaTheme="majorEastAsia" w:cstheme="majorBidi"/>
      <w:color w:val="272727" w:themeColor="text1" w:themeTint="D8"/>
    </w:rPr>
  </w:style>
  <w:style w:type="paragraph" w:styleId="Title">
    <w:name w:val="Title"/>
    <w:basedOn w:val="Normal"/>
    <w:next w:val="Normal"/>
    <w:link w:val="TitleChar"/>
    <w:uiPriority w:val="10"/>
    <w:qFormat/>
    <w:rsid w:val="00FD6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6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6571"/>
    <w:pPr>
      <w:spacing w:before="160"/>
      <w:jc w:val="center"/>
    </w:pPr>
    <w:rPr>
      <w:i/>
      <w:iCs/>
      <w:color w:val="404040" w:themeColor="text1" w:themeTint="BF"/>
    </w:rPr>
  </w:style>
  <w:style w:type="character" w:customStyle="1" w:styleId="QuoteChar">
    <w:name w:val="Quote Char"/>
    <w:basedOn w:val="DefaultParagraphFont"/>
    <w:link w:val="Quote"/>
    <w:uiPriority w:val="29"/>
    <w:rsid w:val="00FD6571"/>
    <w:rPr>
      <w:i/>
      <w:iCs/>
      <w:color w:val="404040" w:themeColor="text1" w:themeTint="BF"/>
    </w:rPr>
  </w:style>
  <w:style w:type="paragraph" w:styleId="ListParagraph">
    <w:name w:val="List Paragraph"/>
    <w:basedOn w:val="Normal"/>
    <w:uiPriority w:val="34"/>
    <w:qFormat/>
    <w:rsid w:val="00FD6571"/>
    <w:pPr>
      <w:ind w:left="720"/>
      <w:contextualSpacing/>
    </w:pPr>
  </w:style>
  <w:style w:type="character" w:styleId="IntenseEmphasis">
    <w:name w:val="Intense Emphasis"/>
    <w:basedOn w:val="DefaultParagraphFont"/>
    <w:uiPriority w:val="21"/>
    <w:qFormat/>
    <w:rsid w:val="00FD6571"/>
    <w:rPr>
      <w:i/>
      <w:iCs/>
      <w:color w:val="2F5496" w:themeColor="accent1" w:themeShade="BF"/>
    </w:rPr>
  </w:style>
  <w:style w:type="paragraph" w:styleId="IntenseQuote">
    <w:name w:val="Intense Quote"/>
    <w:basedOn w:val="Normal"/>
    <w:next w:val="Normal"/>
    <w:link w:val="IntenseQuoteChar"/>
    <w:uiPriority w:val="30"/>
    <w:qFormat/>
    <w:rsid w:val="00FD65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6571"/>
    <w:rPr>
      <w:i/>
      <w:iCs/>
      <w:color w:val="2F5496" w:themeColor="accent1" w:themeShade="BF"/>
    </w:rPr>
  </w:style>
  <w:style w:type="character" w:styleId="IntenseReference">
    <w:name w:val="Intense Reference"/>
    <w:basedOn w:val="DefaultParagraphFont"/>
    <w:uiPriority w:val="32"/>
    <w:qFormat/>
    <w:rsid w:val="00FD6571"/>
    <w:rPr>
      <w:b/>
      <w:bCs/>
      <w:smallCaps/>
      <w:color w:val="2F5496" w:themeColor="accent1" w:themeShade="BF"/>
      <w:spacing w:val="5"/>
    </w:rPr>
  </w:style>
  <w:style w:type="character" w:styleId="Hyperlink">
    <w:name w:val="Hyperlink"/>
    <w:basedOn w:val="DefaultParagraphFont"/>
    <w:uiPriority w:val="99"/>
    <w:unhideWhenUsed/>
    <w:rsid w:val="00EB4270"/>
    <w:rPr>
      <w:color w:val="0563C1" w:themeColor="hyperlink"/>
      <w:u w:val="single"/>
    </w:rPr>
  </w:style>
  <w:style w:type="character" w:styleId="UnresolvedMention">
    <w:name w:val="Unresolved Mention"/>
    <w:basedOn w:val="DefaultParagraphFont"/>
    <w:uiPriority w:val="99"/>
    <w:semiHidden/>
    <w:unhideWhenUsed/>
    <w:rsid w:val="00EB4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b412e4536c4feb746313934303535.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1</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10</cp:revision>
  <dcterms:created xsi:type="dcterms:W3CDTF">2025-07-01T04:41:00Z</dcterms:created>
  <dcterms:modified xsi:type="dcterms:W3CDTF">2025-09-08T09:52:00Z</dcterms:modified>
</cp:coreProperties>
</file>