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CE7EE" w14:textId="77777777" w:rsidR="00C05390" w:rsidRDefault="00C05390" w:rsidP="00C05390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6C1A7A16" w14:textId="6E4B2558" w:rsidR="00C05390" w:rsidRDefault="00C05390" w:rsidP="00C05390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Jumat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noProof/>
          <w:sz w:val="24"/>
          <w:szCs w:val="24"/>
        </w:rPr>
        <w:t>8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Agustus 2025</w:t>
      </w:r>
    </w:p>
    <w:p w14:paraId="2591DC77" w14:textId="199C8E4F" w:rsidR="00C05390" w:rsidRDefault="00251753" w:rsidP="00C05390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PENGADILAN TATA USAHA NEGARA BELUM BERWENANG MENGADILI OBJEK SENGKETA </w:t>
      </w:r>
      <w:r w:rsidR="0080673D">
        <w:rPr>
          <w:rFonts w:ascii="Arial" w:hAnsi="Arial" w:cs="Arial"/>
          <w:b/>
          <w:bCs/>
          <w:noProof/>
          <w:sz w:val="24"/>
          <w:szCs w:val="24"/>
        </w:rPr>
        <w:t xml:space="preserve">YANG </w:t>
      </w:r>
      <w:r w:rsidR="009C6955">
        <w:rPr>
          <w:rFonts w:ascii="Arial" w:hAnsi="Arial" w:cs="Arial"/>
          <w:b/>
          <w:bCs/>
          <w:noProof/>
          <w:sz w:val="24"/>
          <w:szCs w:val="24"/>
        </w:rPr>
        <w:t xml:space="preserve">TERLEBIH DAHULU </w:t>
      </w:r>
      <w:r w:rsidR="0080673D">
        <w:rPr>
          <w:rFonts w:ascii="Arial" w:hAnsi="Arial" w:cs="Arial"/>
          <w:b/>
          <w:bCs/>
          <w:noProof/>
          <w:sz w:val="24"/>
          <w:szCs w:val="24"/>
        </w:rPr>
        <w:t xml:space="preserve">TELAH </w:t>
      </w:r>
      <w:r w:rsidR="009C6955">
        <w:rPr>
          <w:rFonts w:ascii="Arial" w:hAnsi="Arial" w:cs="Arial"/>
          <w:b/>
          <w:bCs/>
          <w:noProof/>
          <w:sz w:val="24"/>
          <w:szCs w:val="24"/>
        </w:rPr>
        <w:t>DIAJUKAN KE PENGADILAN NEGERI DAN BELUM BERKEKUATAN HUKUM TETAP</w:t>
      </w:r>
    </w:p>
    <w:p w14:paraId="05480D52" w14:textId="4C23BA95" w:rsidR="00947588" w:rsidRDefault="00947588" w:rsidP="0050122E">
      <w:pPr>
        <w:jc w:val="both"/>
        <w:rPr>
          <w:rFonts w:ascii="Arial" w:hAnsi="Arial" w:cs="Arial"/>
          <w:noProof/>
          <w:sz w:val="24"/>
          <w:szCs w:val="24"/>
        </w:rPr>
      </w:pPr>
      <w:r w:rsidRPr="00947588">
        <w:rPr>
          <w:rFonts w:ascii="Arial" w:hAnsi="Arial" w:cs="Arial"/>
          <w:noProof/>
          <w:sz w:val="24"/>
          <w:szCs w:val="24"/>
        </w:rPr>
        <w:t xml:space="preserve">PT. Jaya Kupang Pratama (Penggugat) menggugat PPK (Tergugat) dalam tender pengadaan Pakaian Seragam Siswa TK Formal, SD/MI dan SMP/MTs T.A 2019 </w:t>
      </w:r>
      <w:r w:rsidR="00167494">
        <w:rPr>
          <w:rFonts w:ascii="Arial" w:hAnsi="Arial" w:cs="Arial"/>
          <w:noProof/>
          <w:sz w:val="24"/>
          <w:szCs w:val="24"/>
        </w:rPr>
        <w:t>di</w:t>
      </w:r>
      <w:r w:rsidR="00842474">
        <w:rPr>
          <w:rFonts w:ascii="Arial" w:hAnsi="Arial" w:cs="Arial"/>
          <w:noProof/>
          <w:sz w:val="24"/>
          <w:szCs w:val="24"/>
        </w:rPr>
        <w:t xml:space="preserve"> </w:t>
      </w:r>
      <w:r w:rsidRPr="00947588">
        <w:rPr>
          <w:rFonts w:ascii="Arial" w:hAnsi="Arial" w:cs="Arial"/>
          <w:noProof/>
          <w:sz w:val="24"/>
          <w:szCs w:val="24"/>
        </w:rPr>
        <w:t>Dinas Pendidikan dan Kebudayaan Kota Kupang dengan nilai Paket Rp. 6.448.500.000, karena telah mengeluarkan objek sengketa, yaitu Surat Penunjukan Penyedia Barang/Jasa yang menunjuk PT. Teguh Karya Saputra Pratama sebagai Penyedia.</w:t>
      </w:r>
    </w:p>
    <w:p w14:paraId="3FAD370B" w14:textId="514AB118" w:rsidR="00947588" w:rsidRDefault="00947588" w:rsidP="00947588">
      <w:pPr>
        <w:jc w:val="both"/>
        <w:rPr>
          <w:rFonts w:ascii="Arial" w:hAnsi="Arial" w:cs="Arial"/>
          <w:noProof/>
          <w:sz w:val="24"/>
          <w:szCs w:val="24"/>
        </w:rPr>
      </w:pPr>
      <w:r w:rsidRPr="00947588">
        <w:rPr>
          <w:rFonts w:ascii="Arial" w:hAnsi="Arial" w:cs="Arial"/>
          <w:noProof/>
          <w:sz w:val="24"/>
          <w:szCs w:val="24"/>
        </w:rPr>
        <w:t>Penggugat awalnya dinyatakan tidak lulus pada tahap Evaluasi Kualifikasi yang kemudian diajukan sanggah pada 6 April 2019 dan dibenarkan oleh Tergugat c.q Pokja Pemilihan pada 7 April 2019, sehingga Penggugat dinyatakan lulus untuk</w:t>
      </w:r>
      <w:r w:rsidR="00167494">
        <w:rPr>
          <w:rFonts w:ascii="Arial" w:hAnsi="Arial" w:cs="Arial"/>
          <w:noProof/>
          <w:sz w:val="24"/>
          <w:szCs w:val="24"/>
        </w:rPr>
        <w:t xml:space="preserve"> masuk</w:t>
      </w:r>
      <w:r w:rsidRPr="00947588">
        <w:rPr>
          <w:rFonts w:ascii="Arial" w:hAnsi="Arial" w:cs="Arial"/>
          <w:noProof/>
          <w:sz w:val="24"/>
          <w:szCs w:val="24"/>
        </w:rPr>
        <w:t xml:space="preserve"> tahap Pembuktian Kualifikasi. Tidak lama dari itu, Penggugat dinyatakan tidak lulus kembali sebab tidak menghadiri undangan</w:t>
      </w:r>
      <w:r w:rsidR="00886DCD">
        <w:rPr>
          <w:rFonts w:ascii="Arial" w:hAnsi="Arial" w:cs="Arial"/>
          <w:noProof/>
          <w:sz w:val="24"/>
          <w:szCs w:val="24"/>
        </w:rPr>
        <w:t>,</w:t>
      </w:r>
      <w:r w:rsidRPr="00947588">
        <w:rPr>
          <w:rFonts w:ascii="Arial" w:hAnsi="Arial" w:cs="Arial"/>
          <w:noProof/>
          <w:sz w:val="24"/>
          <w:szCs w:val="24"/>
        </w:rPr>
        <w:t xml:space="preserve"> yang didalilkan Penggugat karena undangan dikeluarkan masih dalam masa sanggah dan baru diketahuinya pada 8 April 2019 setelah Pokja Pemilihan melaksanakan Pembuktian Kualifikasi.</w:t>
      </w:r>
    </w:p>
    <w:p w14:paraId="573F2B1B" w14:textId="77777777" w:rsidR="00842474" w:rsidRDefault="00A93F7F" w:rsidP="0050122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Penggugat kemudian melakukan sanggah</w:t>
      </w:r>
      <w:r w:rsidR="00E15CCC">
        <w:rPr>
          <w:rFonts w:ascii="Arial" w:hAnsi="Arial" w:cs="Arial"/>
          <w:noProof/>
          <w:sz w:val="24"/>
          <w:szCs w:val="24"/>
        </w:rPr>
        <w:t xml:space="preserve"> kedua</w:t>
      </w:r>
      <w:r>
        <w:rPr>
          <w:rFonts w:ascii="Arial" w:hAnsi="Arial" w:cs="Arial"/>
          <w:noProof/>
          <w:sz w:val="24"/>
          <w:szCs w:val="24"/>
        </w:rPr>
        <w:t xml:space="preserve"> yang hasilnya ditolak pada 11 April 2019. Lalu pada 15 April 2019 Tergugat mengeluarkan </w:t>
      </w:r>
      <w:r w:rsidR="00A260AA">
        <w:rPr>
          <w:rFonts w:ascii="Arial" w:hAnsi="Arial" w:cs="Arial"/>
          <w:noProof/>
          <w:sz w:val="24"/>
          <w:szCs w:val="24"/>
        </w:rPr>
        <w:t>objek sengketa</w:t>
      </w:r>
      <w:r w:rsidR="00E15CCC">
        <w:rPr>
          <w:rFonts w:ascii="Arial" w:hAnsi="Arial" w:cs="Arial"/>
          <w:noProof/>
          <w:sz w:val="24"/>
          <w:szCs w:val="24"/>
        </w:rPr>
        <w:t xml:space="preserve"> yang dinyatakan Penggugat baru </w:t>
      </w:r>
      <w:r w:rsidR="00251753">
        <w:rPr>
          <w:rFonts w:ascii="Arial" w:hAnsi="Arial" w:cs="Arial"/>
          <w:noProof/>
          <w:sz w:val="24"/>
          <w:szCs w:val="24"/>
        </w:rPr>
        <w:t>mengetahuinya</w:t>
      </w:r>
      <w:r w:rsidR="00E15CCC">
        <w:rPr>
          <w:rFonts w:ascii="Arial" w:hAnsi="Arial" w:cs="Arial"/>
          <w:noProof/>
          <w:sz w:val="24"/>
          <w:szCs w:val="24"/>
        </w:rPr>
        <w:t xml:space="preserve"> pada 24 September 2019.</w:t>
      </w:r>
      <w:r w:rsidR="00251753">
        <w:rPr>
          <w:rFonts w:ascii="Arial" w:hAnsi="Arial" w:cs="Arial"/>
          <w:noProof/>
          <w:sz w:val="24"/>
          <w:szCs w:val="24"/>
        </w:rPr>
        <w:t xml:space="preserve"> </w:t>
      </w:r>
    </w:p>
    <w:p w14:paraId="5A766C7D" w14:textId="7C8112A5" w:rsidR="00E15CCC" w:rsidRDefault="00A260AA" w:rsidP="0050122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Gugatan </w:t>
      </w:r>
      <w:r w:rsidR="00251753">
        <w:rPr>
          <w:rFonts w:ascii="Arial" w:hAnsi="Arial" w:cs="Arial"/>
          <w:noProof/>
          <w:sz w:val="24"/>
          <w:szCs w:val="24"/>
        </w:rPr>
        <w:t>di</w:t>
      </w:r>
      <w:r>
        <w:rPr>
          <w:rFonts w:ascii="Arial" w:hAnsi="Arial" w:cs="Arial"/>
          <w:noProof/>
          <w:sz w:val="24"/>
          <w:szCs w:val="24"/>
        </w:rPr>
        <w:t>eksepsi oleh Tergugat dengan menyebutkan gugatan daluarsa, karena pada 9 Mei 2019 objek sengketa telah diketahui dan diajukan Penggugat ke Pengadilan Negeri Kupang yang apabila dihitung telah melampaui 90 hari</w:t>
      </w:r>
      <w:r w:rsidR="00E15578">
        <w:rPr>
          <w:rFonts w:ascii="Arial" w:hAnsi="Arial" w:cs="Arial"/>
          <w:noProof/>
          <w:sz w:val="24"/>
          <w:szCs w:val="24"/>
        </w:rPr>
        <w:t xml:space="preserve"> sehingga melewati tenggang waktu </w:t>
      </w:r>
      <w:r w:rsidR="00251753">
        <w:rPr>
          <w:rFonts w:ascii="Arial" w:hAnsi="Arial" w:cs="Arial"/>
          <w:noProof/>
          <w:sz w:val="24"/>
          <w:szCs w:val="24"/>
        </w:rPr>
        <w:t>pengajuan</w:t>
      </w:r>
      <w:r w:rsidR="00E15578">
        <w:rPr>
          <w:rFonts w:ascii="Arial" w:hAnsi="Arial" w:cs="Arial"/>
          <w:noProof/>
          <w:sz w:val="24"/>
          <w:szCs w:val="24"/>
        </w:rPr>
        <w:t xml:space="preserve"> gugatan </w:t>
      </w:r>
      <w:r w:rsidR="00251753">
        <w:rPr>
          <w:rFonts w:ascii="Arial" w:hAnsi="Arial" w:cs="Arial"/>
          <w:noProof/>
          <w:sz w:val="24"/>
          <w:szCs w:val="24"/>
        </w:rPr>
        <w:t>ke Pengadilan</w:t>
      </w:r>
      <w:r w:rsidR="00E15578">
        <w:rPr>
          <w:rFonts w:ascii="Arial" w:hAnsi="Arial" w:cs="Arial"/>
          <w:noProof/>
          <w:sz w:val="24"/>
          <w:szCs w:val="24"/>
        </w:rPr>
        <w:t xml:space="preserve"> </w:t>
      </w:r>
      <w:r w:rsidR="00251753">
        <w:rPr>
          <w:rFonts w:ascii="Arial" w:hAnsi="Arial" w:cs="Arial"/>
          <w:noProof/>
          <w:sz w:val="24"/>
          <w:szCs w:val="24"/>
        </w:rPr>
        <w:t>TUN</w:t>
      </w:r>
      <w:r w:rsidR="00E15578">
        <w:rPr>
          <w:rFonts w:ascii="Arial" w:hAnsi="Arial" w:cs="Arial"/>
          <w:noProof/>
          <w:sz w:val="24"/>
          <w:szCs w:val="24"/>
        </w:rPr>
        <w:t>.</w:t>
      </w:r>
    </w:p>
    <w:p w14:paraId="0D4F8406" w14:textId="0B2EFA8E" w:rsidR="00E15578" w:rsidRDefault="00E15578" w:rsidP="0050122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Pengadilan TUN Kupang dalam putusannya menyatakan eksepsi Tergugat diterima dan menolak gugatan Penggugat untuk seluruhnya dengan pertimbangan gugatan telah melampaui 90 hari tenggang waktu pengajuan sebagaimana Pasal 55 UU No. 5 Tahun 1986 tentang Pengadilan Tata Usaha Negara. Pada tingkat banding, </w:t>
      </w:r>
      <w:r w:rsidR="00251753">
        <w:rPr>
          <w:rFonts w:ascii="Arial" w:hAnsi="Arial" w:cs="Arial"/>
          <w:noProof/>
          <w:sz w:val="24"/>
          <w:szCs w:val="24"/>
        </w:rPr>
        <w:t xml:space="preserve">putusan ini </w:t>
      </w:r>
      <w:r>
        <w:rPr>
          <w:rFonts w:ascii="Arial" w:hAnsi="Arial" w:cs="Arial"/>
          <w:noProof/>
          <w:sz w:val="24"/>
          <w:szCs w:val="24"/>
        </w:rPr>
        <w:t>dikuatkan Pengadilan Tinggi TUN Surabaya.</w:t>
      </w:r>
    </w:p>
    <w:p w14:paraId="4D5B4734" w14:textId="167856FF" w:rsidR="00E15578" w:rsidRPr="00E15578" w:rsidRDefault="00E15578" w:rsidP="00E15578">
      <w:pPr>
        <w:jc w:val="both"/>
        <w:rPr>
          <w:rFonts w:ascii="Arial" w:hAnsi="Arial" w:cs="Arial"/>
          <w:noProof/>
          <w:sz w:val="24"/>
          <w:szCs w:val="24"/>
        </w:rPr>
      </w:pPr>
      <w:r w:rsidRPr="00E15578">
        <w:rPr>
          <w:rFonts w:ascii="Arial" w:hAnsi="Arial" w:cs="Arial"/>
          <w:noProof/>
          <w:sz w:val="24"/>
          <w:szCs w:val="24"/>
        </w:rPr>
        <w:t>Di tingkat kasasi, Majelis Hakim menyat</w:t>
      </w:r>
      <w:r>
        <w:rPr>
          <w:rFonts w:ascii="Arial" w:hAnsi="Arial" w:cs="Arial"/>
          <w:noProof/>
          <w:sz w:val="24"/>
          <w:szCs w:val="24"/>
        </w:rPr>
        <w:t>akan</w:t>
      </w:r>
      <w:r w:rsidRPr="00E15578">
        <w:rPr>
          <w:rFonts w:ascii="Arial" w:hAnsi="Arial" w:cs="Arial"/>
          <w:noProof/>
          <w:sz w:val="24"/>
          <w:szCs w:val="24"/>
        </w:rPr>
        <w:t xml:space="preserve"> Judex Facti </w:t>
      </w:r>
      <w:r w:rsidRPr="00E15578">
        <w:rPr>
          <w:rFonts w:ascii="Arial" w:hAnsi="Arial" w:cs="Arial"/>
          <w:noProof/>
          <w:sz w:val="24"/>
          <w:szCs w:val="24"/>
        </w:rPr>
        <w:t>sudah benar dan tidak terdapat kesalahan penerapan hukum, tetapi dengan perbaikan pertimbangan</w:t>
      </w:r>
      <w:r w:rsidR="00167494">
        <w:rPr>
          <w:rFonts w:ascii="Arial" w:hAnsi="Arial" w:cs="Arial"/>
          <w:noProof/>
          <w:sz w:val="24"/>
          <w:szCs w:val="24"/>
        </w:rPr>
        <w:t>,</w:t>
      </w:r>
      <w:r w:rsidRPr="00E15578">
        <w:rPr>
          <w:rFonts w:ascii="Arial" w:hAnsi="Arial" w:cs="Arial"/>
          <w:noProof/>
          <w:sz w:val="24"/>
          <w:szCs w:val="24"/>
        </w:rPr>
        <w:t xml:space="preserve"> bahwa gugatan yang diajukan ke PN Kupang </w:t>
      </w:r>
      <w:r w:rsidR="009C6955">
        <w:rPr>
          <w:rFonts w:ascii="Arial" w:hAnsi="Arial" w:cs="Arial"/>
          <w:noProof/>
          <w:sz w:val="24"/>
          <w:szCs w:val="24"/>
        </w:rPr>
        <w:t xml:space="preserve">menyebutkan objek sengketa adalah Keputusan TUN, </w:t>
      </w:r>
      <w:r w:rsidR="00842474">
        <w:rPr>
          <w:rFonts w:ascii="Arial" w:hAnsi="Arial" w:cs="Arial"/>
          <w:noProof/>
          <w:sz w:val="24"/>
          <w:szCs w:val="24"/>
        </w:rPr>
        <w:t>tetapi</w:t>
      </w:r>
      <w:r w:rsidR="009C6955">
        <w:rPr>
          <w:rFonts w:ascii="Arial" w:hAnsi="Arial" w:cs="Arial"/>
          <w:noProof/>
          <w:sz w:val="24"/>
          <w:szCs w:val="24"/>
        </w:rPr>
        <w:t xml:space="preserve"> p</w:t>
      </w:r>
      <w:r w:rsidR="00167494">
        <w:rPr>
          <w:rFonts w:ascii="Arial" w:hAnsi="Arial" w:cs="Arial"/>
          <w:noProof/>
          <w:sz w:val="24"/>
          <w:szCs w:val="24"/>
        </w:rPr>
        <w:t>roses perdata</w:t>
      </w:r>
      <w:r w:rsidR="009C6955">
        <w:rPr>
          <w:rFonts w:ascii="Arial" w:hAnsi="Arial" w:cs="Arial"/>
          <w:noProof/>
          <w:sz w:val="24"/>
          <w:szCs w:val="24"/>
        </w:rPr>
        <w:t xml:space="preserve"> ini </w:t>
      </w:r>
      <w:r w:rsidRPr="00E15578">
        <w:rPr>
          <w:rFonts w:ascii="Arial" w:hAnsi="Arial" w:cs="Arial"/>
          <w:noProof/>
          <w:sz w:val="24"/>
          <w:szCs w:val="24"/>
        </w:rPr>
        <w:t>belum berkekuatan hukum tetap</w:t>
      </w:r>
      <w:r w:rsidR="00842474">
        <w:rPr>
          <w:rFonts w:ascii="Arial" w:hAnsi="Arial" w:cs="Arial"/>
          <w:noProof/>
          <w:sz w:val="24"/>
          <w:szCs w:val="24"/>
        </w:rPr>
        <w:t>. O</w:t>
      </w:r>
      <w:r w:rsidR="00017FE9">
        <w:rPr>
          <w:rFonts w:ascii="Arial" w:hAnsi="Arial" w:cs="Arial"/>
          <w:noProof/>
          <w:sz w:val="24"/>
          <w:szCs w:val="24"/>
        </w:rPr>
        <w:t>leh sebab itu Pengadilan TUN</w:t>
      </w:r>
      <w:r w:rsidRPr="00E15578">
        <w:rPr>
          <w:rFonts w:ascii="Arial" w:hAnsi="Arial" w:cs="Arial"/>
          <w:noProof/>
          <w:sz w:val="24"/>
          <w:szCs w:val="24"/>
        </w:rPr>
        <w:t xml:space="preserve"> belum berwenang mengadili sengketa ini sehingga dalam putusan</w:t>
      </w:r>
      <w:r w:rsidR="00017FE9">
        <w:rPr>
          <w:rFonts w:ascii="Arial" w:hAnsi="Arial" w:cs="Arial"/>
          <w:noProof/>
          <w:sz w:val="24"/>
          <w:szCs w:val="24"/>
        </w:rPr>
        <w:t>nya</w:t>
      </w:r>
      <w:r w:rsidRPr="00E15578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M</w:t>
      </w:r>
      <w:r w:rsidRPr="00E15578">
        <w:rPr>
          <w:rFonts w:ascii="Arial" w:hAnsi="Arial" w:cs="Arial"/>
          <w:noProof/>
          <w:sz w:val="24"/>
          <w:szCs w:val="24"/>
        </w:rPr>
        <w:t xml:space="preserve">ajelis memperbaiki amar putusan </w:t>
      </w:r>
      <w:r w:rsidR="00167494">
        <w:rPr>
          <w:rFonts w:ascii="Arial" w:hAnsi="Arial" w:cs="Arial"/>
          <w:noProof/>
          <w:sz w:val="24"/>
          <w:szCs w:val="24"/>
        </w:rPr>
        <w:t xml:space="preserve">Judex Facti </w:t>
      </w:r>
      <w:r w:rsidRPr="00E15578">
        <w:rPr>
          <w:rFonts w:ascii="Arial" w:hAnsi="Arial" w:cs="Arial"/>
          <w:noProof/>
          <w:sz w:val="24"/>
          <w:szCs w:val="24"/>
        </w:rPr>
        <w:t>dengan menyatakan gugatan Penggugat tidak diterima</w:t>
      </w:r>
      <w:r w:rsidR="00251753">
        <w:rPr>
          <w:rFonts w:ascii="Arial" w:hAnsi="Arial" w:cs="Arial"/>
          <w:noProof/>
          <w:sz w:val="24"/>
          <w:szCs w:val="24"/>
        </w:rPr>
        <w:t xml:space="preserve"> (</w:t>
      </w:r>
      <w:r w:rsidR="00251753" w:rsidRPr="00251753">
        <w:rPr>
          <w:rFonts w:ascii="Arial" w:hAnsi="Arial" w:cs="Arial"/>
          <w:i/>
          <w:iCs/>
          <w:noProof/>
          <w:sz w:val="24"/>
          <w:szCs w:val="24"/>
        </w:rPr>
        <w:t>niet ontvankelijke verklaard</w:t>
      </w:r>
      <w:r w:rsidR="00251753">
        <w:rPr>
          <w:rFonts w:ascii="Arial" w:hAnsi="Arial" w:cs="Arial"/>
          <w:noProof/>
          <w:sz w:val="24"/>
          <w:szCs w:val="24"/>
        </w:rPr>
        <w:t>)</w:t>
      </w:r>
      <w:r w:rsidRPr="00E15578">
        <w:rPr>
          <w:rFonts w:ascii="Arial" w:hAnsi="Arial" w:cs="Arial"/>
          <w:noProof/>
          <w:sz w:val="24"/>
          <w:szCs w:val="24"/>
        </w:rPr>
        <w:t>.</w:t>
      </w:r>
    </w:p>
    <w:p w14:paraId="5FB410E7" w14:textId="77777777" w:rsidR="00251753" w:rsidRDefault="00251753" w:rsidP="00C05390">
      <w:pPr>
        <w:jc w:val="both"/>
        <w:rPr>
          <w:rFonts w:ascii="Arial" w:hAnsi="Arial" w:cs="Arial"/>
          <w:noProof/>
          <w:sz w:val="24"/>
          <w:szCs w:val="24"/>
        </w:rPr>
      </w:pPr>
    </w:p>
    <w:p w14:paraId="51EDC394" w14:textId="50A5171D" w:rsidR="00C05390" w:rsidRDefault="00C05390" w:rsidP="00C0539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→ Putusan Mahkamah Agung Nomor </w:t>
      </w:r>
      <w:r>
        <w:rPr>
          <w:rFonts w:ascii="Arial" w:hAnsi="Arial" w:cs="Arial"/>
          <w:noProof/>
          <w:sz w:val="24"/>
          <w:szCs w:val="24"/>
        </w:rPr>
        <w:t>364 K/TUN/2021, 23 September 2021</w:t>
      </w:r>
    </w:p>
    <w:p w14:paraId="1B84672C" w14:textId="244EC772" w:rsidR="00C05390" w:rsidRDefault="00C05390" w:rsidP="00251753">
      <w:pPr>
        <w:jc w:val="both"/>
      </w:pPr>
      <w:r>
        <w:rPr>
          <w:rFonts w:ascii="Arial" w:hAnsi="Arial" w:cs="Arial"/>
          <w:noProof/>
          <w:sz w:val="24"/>
          <w:szCs w:val="24"/>
        </w:rPr>
        <w:lastRenderedPageBreak/>
        <w:t xml:space="preserve">Sumber: </w:t>
      </w:r>
      <w:hyperlink r:id="rId5" w:history="1">
        <w:r w:rsidRPr="00A124EB">
          <w:rPr>
            <w:rStyle w:val="Hyperlink"/>
            <w:rFonts w:ascii="Arial" w:hAnsi="Arial" w:cs="Arial"/>
            <w:sz w:val="24"/>
            <w:szCs w:val="24"/>
          </w:rPr>
          <w:t>https://putusan3.mahkamahagung.go.id/direktori/putusan/zaec7478a1052df69441323035363338.html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056758A4" w14:textId="77777777" w:rsidR="00251753" w:rsidRPr="00251753" w:rsidRDefault="00251753" w:rsidP="00251753">
      <w:pPr>
        <w:jc w:val="both"/>
      </w:pPr>
    </w:p>
    <w:p w14:paraId="4629FDA9" w14:textId="77777777" w:rsidR="00C05390" w:rsidRDefault="00C05390" w:rsidP="00C05390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53F5133C" w14:textId="77777777" w:rsidR="00C05390" w:rsidRDefault="00C05390" w:rsidP="00C05390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p w14:paraId="7BEFD2A3" w14:textId="77777777" w:rsidR="00C05390" w:rsidRDefault="00C05390" w:rsidP="00C05390">
      <w:pPr>
        <w:spacing w:after="0"/>
        <w:jc w:val="both"/>
      </w:pPr>
      <w:r>
        <w:rPr>
          <w:rFonts w:ascii="Arial" w:hAnsi="Arial" w:cs="Arial"/>
          <w:noProof/>
          <w:sz w:val="24"/>
          <w:szCs w:val="24"/>
        </w:rPr>
        <w:t xml:space="preserve">Fredrik J. Pinakunary </w:t>
      </w:r>
      <w:r w:rsidRPr="006225AC">
        <w:rPr>
          <w:rFonts w:ascii="Arial" w:hAnsi="Arial" w:cs="Arial"/>
          <w:noProof/>
          <w:sz w:val="24"/>
          <w:szCs w:val="24"/>
        </w:rPr>
        <w:t>&amp; Nila Aulia</w:t>
      </w:r>
      <w:r>
        <w:rPr>
          <w:rFonts w:ascii="Arial" w:hAnsi="Arial" w:cs="Arial"/>
          <w:noProof/>
          <w:sz w:val="24"/>
          <w:szCs w:val="24"/>
        </w:rPr>
        <w:t xml:space="preserve"> K</w:t>
      </w:r>
    </w:p>
    <w:p w14:paraId="3A70C25B" w14:textId="77777777" w:rsidR="00C05390" w:rsidRDefault="00C05390" w:rsidP="00C05390"/>
    <w:p w14:paraId="12DD02BD" w14:textId="77777777" w:rsidR="00C05390" w:rsidRDefault="00C05390" w:rsidP="00C05390"/>
    <w:p w14:paraId="65D2B647" w14:textId="77777777" w:rsidR="007C6969" w:rsidRDefault="007C6969"/>
    <w:sectPr w:rsidR="007C6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F580E"/>
    <w:multiLevelType w:val="hybridMultilevel"/>
    <w:tmpl w:val="3BB2ACC2"/>
    <w:lvl w:ilvl="0" w:tplc="6F1267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354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390"/>
    <w:rsid w:val="00017FE9"/>
    <w:rsid w:val="00167494"/>
    <w:rsid w:val="001F50CD"/>
    <w:rsid w:val="00251753"/>
    <w:rsid w:val="00271C7B"/>
    <w:rsid w:val="002A238D"/>
    <w:rsid w:val="003B5A6F"/>
    <w:rsid w:val="00422ADC"/>
    <w:rsid w:val="0050122E"/>
    <w:rsid w:val="00653FC1"/>
    <w:rsid w:val="0068477C"/>
    <w:rsid w:val="00776034"/>
    <w:rsid w:val="00796590"/>
    <w:rsid w:val="007C6969"/>
    <w:rsid w:val="0080673D"/>
    <w:rsid w:val="00842474"/>
    <w:rsid w:val="00867BAE"/>
    <w:rsid w:val="00886DCD"/>
    <w:rsid w:val="00947588"/>
    <w:rsid w:val="0097635B"/>
    <w:rsid w:val="009C6955"/>
    <w:rsid w:val="00A260AA"/>
    <w:rsid w:val="00A93F7F"/>
    <w:rsid w:val="00AC5FC3"/>
    <w:rsid w:val="00B0145B"/>
    <w:rsid w:val="00B6234D"/>
    <w:rsid w:val="00BD5906"/>
    <w:rsid w:val="00C05390"/>
    <w:rsid w:val="00E15578"/>
    <w:rsid w:val="00E15CCC"/>
    <w:rsid w:val="00F1743F"/>
    <w:rsid w:val="00FD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19F27"/>
  <w15:chartTrackingRefBased/>
  <w15:docId w15:val="{CEE939EC-E058-4545-92C7-B40D1F238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390"/>
  </w:style>
  <w:style w:type="paragraph" w:styleId="Heading1">
    <w:name w:val="heading 1"/>
    <w:basedOn w:val="Normal"/>
    <w:next w:val="Normal"/>
    <w:link w:val="Heading1Char"/>
    <w:uiPriority w:val="9"/>
    <w:qFormat/>
    <w:rsid w:val="00C05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3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3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3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3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3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3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3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3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3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3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3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3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3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3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3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3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39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53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utusan3.mahkamahagung.go.id/direktori/putusan/zaec7478a1052df6944132303536333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3</cp:revision>
  <dcterms:created xsi:type="dcterms:W3CDTF">2025-08-08T03:46:00Z</dcterms:created>
  <dcterms:modified xsi:type="dcterms:W3CDTF">2025-08-08T11:07:00Z</dcterms:modified>
</cp:coreProperties>
</file>