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58564" w14:textId="77777777" w:rsidR="005E6942" w:rsidRDefault="005E6942" w:rsidP="005E6942">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74FF5AA2" w14:textId="01F0DF51" w:rsidR="005E6942" w:rsidRDefault="00143EBE" w:rsidP="005E6942">
      <w:pPr>
        <w:jc w:val="both"/>
        <w:rPr>
          <w:rFonts w:ascii="Arial" w:hAnsi="Arial" w:cs="Arial"/>
          <w:b/>
          <w:bCs/>
          <w:noProof/>
          <w:sz w:val="24"/>
          <w:szCs w:val="24"/>
        </w:rPr>
      </w:pPr>
      <w:r>
        <w:rPr>
          <w:rFonts w:ascii="Arial" w:hAnsi="Arial" w:cs="Arial"/>
          <w:b/>
          <w:bCs/>
          <w:noProof/>
          <w:sz w:val="24"/>
          <w:szCs w:val="24"/>
        </w:rPr>
        <w:t>Kamis, 7 Agustus 2025</w:t>
      </w:r>
    </w:p>
    <w:p w14:paraId="66943096" w14:textId="042F6C72" w:rsidR="00B61B4D" w:rsidRDefault="00B61B4D" w:rsidP="00686555">
      <w:pPr>
        <w:jc w:val="both"/>
        <w:rPr>
          <w:rFonts w:ascii="Arial" w:hAnsi="Arial" w:cs="Arial"/>
          <w:b/>
          <w:bCs/>
          <w:noProof/>
          <w:sz w:val="24"/>
          <w:szCs w:val="24"/>
        </w:rPr>
      </w:pPr>
      <w:r>
        <w:rPr>
          <w:rFonts w:ascii="Arial" w:hAnsi="Arial" w:cs="Arial"/>
          <w:b/>
          <w:bCs/>
          <w:noProof/>
          <w:sz w:val="24"/>
          <w:szCs w:val="24"/>
        </w:rPr>
        <w:t>PELAKU KORUPSI TIDAK DIJATUHI PIDANA TAMBAHAN BERUPA UANG PENGGANTI KERUGIAN NEGARA KARENA TIDAK DITEMUKAN FAKTA HUKUM ALIRAN DANA KEPADA TERDAKWA</w:t>
      </w:r>
    </w:p>
    <w:p w14:paraId="1268085E" w14:textId="78D38B4E" w:rsidR="00686555" w:rsidRDefault="00143EBE" w:rsidP="00686555">
      <w:pPr>
        <w:jc w:val="both"/>
        <w:rPr>
          <w:rFonts w:ascii="Arial" w:hAnsi="Arial" w:cs="Arial"/>
          <w:noProof/>
          <w:sz w:val="24"/>
          <w:szCs w:val="24"/>
        </w:rPr>
      </w:pPr>
      <w:r>
        <w:rPr>
          <w:rFonts w:ascii="Arial" w:hAnsi="Arial" w:cs="Arial"/>
          <w:noProof/>
          <w:sz w:val="24"/>
          <w:szCs w:val="24"/>
        </w:rPr>
        <w:t>Hamzapari (Terdakwa I) dan Yunus (Terdakwa II) merupakan Panitia Lelang pada kegiatan pengadaan Alat Laboratorium Bahasa di SMP daerah Kabupaten Rejang Lebong</w:t>
      </w:r>
      <w:r w:rsidR="00DE0A36">
        <w:rPr>
          <w:rFonts w:ascii="Arial" w:hAnsi="Arial" w:cs="Arial"/>
          <w:noProof/>
          <w:sz w:val="24"/>
          <w:szCs w:val="24"/>
        </w:rPr>
        <w:t xml:space="preserve"> T.A 2010. Pada tahap evaluasi dokumen penawaran, terdapat 2 perusahaan yang lulus dan ikut tahap evaluasi tekni</w:t>
      </w:r>
      <w:r w:rsidR="00CA299E">
        <w:rPr>
          <w:rFonts w:ascii="Arial" w:hAnsi="Arial" w:cs="Arial"/>
          <w:noProof/>
          <w:sz w:val="24"/>
          <w:szCs w:val="24"/>
        </w:rPr>
        <w:t xml:space="preserve">s. </w:t>
      </w:r>
      <w:r w:rsidR="00DE0A36">
        <w:rPr>
          <w:rFonts w:ascii="Arial" w:hAnsi="Arial" w:cs="Arial"/>
          <w:noProof/>
          <w:sz w:val="24"/>
          <w:szCs w:val="24"/>
        </w:rPr>
        <w:t xml:space="preserve">Akan tetapi, dalam rangka memenangkan CV. Wijaya Perdana, Panitia Lelang mengubah dokumen penawaran terkait nilai item instalasi jaringan </w:t>
      </w:r>
      <w:r w:rsidR="00DB5425">
        <w:rPr>
          <w:rFonts w:ascii="Arial" w:hAnsi="Arial" w:cs="Arial"/>
          <w:noProof/>
          <w:sz w:val="24"/>
          <w:szCs w:val="24"/>
        </w:rPr>
        <w:t>sehingga menjadi</w:t>
      </w:r>
      <w:r w:rsidR="00CA299E">
        <w:rPr>
          <w:rFonts w:ascii="Arial" w:hAnsi="Arial" w:cs="Arial"/>
          <w:noProof/>
          <w:sz w:val="24"/>
          <w:szCs w:val="24"/>
        </w:rPr>
        <w:t>kannya</w:t>
      </w:r>
      <w:r w:rsidR="00DB5425">
        <w:rPr>
          <w:rFonts w:ascii="Arial" w:hAnsi="Arial" w:cs="Arial"/>
          <w:noProof/>
          <w:sz w:val="24"/>
          <w:szCs w:val="24"/>
        </w:rPr>
        <w:t xml:space="preserve"> penawar terendah Rp. 3.104.000.000 dan ditetapkan sebagai penyedia</w:t>
      </w:r>
      <w:r w:rsidR="0087290C">
        <w:rPr>
          <w:rFonts w:ascii="Arial" w:hAnsi="Arial" w:cs="Arial"/>
          <w:noProof/>
          <w:sz w:val="24"/>
          <w:szCs w:val="24"/>
        </w:rPr>
        <w:t>.</w:t>
      </w:r>
    </w:p>
    <w:p w14:paraId="5D039C8E" w14:textId="7133396B" w:rsidR="00871CE2" w:rsidRDefault="00686555" w:rsidP="005E6942">
      <w:pPr>
        <w:jc w:val="both"/>
        <w:rPr>
          <w:rFonts w:ascii="Arial" w:hAnsi="Arial" w:cs="Arial"/>
          <w:noProof/>
          <w:sz w:val="24"/>
          <w:szCs w:val="24"/>
        </w:rPr>
      </w:pPr>
      <w:r>
        <w:rPr>
          <w:rFonts w:ascii="Arial" w:hAnsi="Arial" w:cs="Arial"/>
          <w:noProof/>
          <w:sz w:val="24"/>
          <w:szCs w:val="24"/>
        </w:rPr>
        <w:t>Penuntut Umum menyatakan Para Terdakwa memperkaya Direktur CV. Wijaya Perdana</w:t>
      </w:r>
      <w:r w:rsidR="00871CE2">
        <w:rPr>
          <w:rFonts w:ascii="Arial" w:hAnsi="Arial" w:cs="Arial"/>
          <w:noProof/>
          <w:sz w:val="24"/>
          <w:szCs w:val="24"/>
        </w:rPr>
        <w:t xml:space="preserve"> Rp. 801.545.490 berdasarkan hasil audit oleh BPKP Perwakilan Bengkulu</w:t>
      </w:r>
      <w:r w:rsidR="00B61B4D">
        <w:rPr>
          <w:rFonts w:ascii="Arial" w:hAnsi="Arial" w:cs="Arial"/>
          <w:noProof/>
          <w:sz w:val="24"/>
          <w:szCs w:val="24"/>
        </w:rPr>
        <w:t>.</w:t>
      </w:r>
      <w:r w:rsidR="001C05F6">
        <w:rPr>
          <w:rFonts w:ascii="Arial" w:hAnsi="Arial" w:cs="Arial"/>
          <w:noProof/>
          <w:sz w:val="24"/>
          <w:szCs w:val="24"/>
        </w:rPr>
        <w:t xml:space="preserve"> </w:t>
      </w:r>
      <w:r w:rsidR="00B61B4D">
        <w:rPr>
          <w:rFonts w:ascii="Arial" w:hAnsi="Arial" w:cs="Arial"/>
          <w:noProof/>
          <w:sz w:val="24"/>
          <w:szCs w:val="24"/>
        </w:rPr>
        <w:t>Dalam tuntutannya</w:t>
      </w:r>
      <w:r w:rsidR="001C05F6">
        <w:rPr>
          <w:rFonts w:ascii="Arial" w:hAnsi="Arial" w:cs="Arial"/>
          <w:noProof/>
          <w:sz w:val="24"/>
          <w:szCs w:val="24"/>
        </w:rPr>
        <w:t xml:space="preserve"> membebankan masing-masing Terdakwa membayar uang pengganti kerugian negara </w:t>
      </w:r>
      <w:r w:rsidR="00A562B9">
        <w:rPr>
          <w:rFonts w:ascii="Arial" w:hAnsi="Arial" w:cs="Arial"/>
          <w:noProof/>
          <w:sz w:val="24"/>
          <w:szCs w:val="24"/>
        </w:rPr>
        <w:t xml:space="preserve">Rp. 74.289.779,375 </w:t>
      </w:r>
      <w:r w:rsidR="001C05F6">
        <w:rPr>
          <w:rFonts w:ascii="Arial" w:hAnsi="Arial" w:cs="Arial"/>
          <w:noProof/>
          <w:sz w:val="24"/>
          <w:szCs w:val="24"/>
        </w:rPr>
        <w:t>dengan tolak ukur berdasarkan perbuatannya masing-masing serta pihak yang menikmati</w:t>
      </w:r>
      <w:r w:rsidR="00A562B9">
        <w:rPr>
          <w:rFonts w:ascii="Arial" w:hAnsi="Arial" w:cs="Arial"/>
          <w:noProof/>
          <w:sz w:val="24"/>
          <w:szCs w:val="24"/>
        </w:rPr>
        <w:t xml:space="preserve"> </w:t>
      </w:r>
      <w:r w:rsidR="001C05F6">
        <w:rPr>
          <w:rFonts w:ascii="Arial" w:hAnsi="Arial" w:cs="Arial"/>
          <w:noProof/>
          <w:sz w:val="24"/>
          <w:szCs w:val="24"/>
        </w:rPr>
        <w:t>uang tersebut.</w:t>
      </w:r>
      <w:r w:rsidR="00045E42">
        <w:rPr>
          <w:rFonts w:ascii="Arial" w:hAnsi="Arial" w:cs="Arial"/>
          <w:noProof/>
          <w:sz w:val="24"/>
          <w:szCs w:val="24"/>
        </w:rPr>
        <w:t xml:space="preserve"> Terkait </w:t>
      </w:r>
      <w:r w:rsidR="00B61B4D">
        <w:rPr>
          <w:rFonts w:ascii="Arial" w:hAnsi="Arial" w:cs="Arial"/>
          <w:noProof/>
          <w:sz w:val="24"/>
          <w:szCs w:val="24"/>
        </w:rPr>
        <w:t>uang pengganti ini</w:t>
      </w:r>
      <w:r w:rsidR="00045E42">
        <w:rPr>
          <w:rFonts w:ascii="Arial" w:hAnsi="Arial" w:cs="Arial"/>
          <w:noProof/>
          <w:sz w:val="24"/>
          <w:szCs w:val="24"/>
        </w:rPr>
        <w:t>, Istri Terdakwa II telah menitipkannya ke Kejaksaan Negeri Rejang.</w:t>
      </w:r>
    </w:p>
    <w:p w14:paraId="0A1C214E" w14:textId="2025B319" w:rsidR="002536CB" w:rsidRDefault="0087290C" w:rsidP="005E6942">
      <w:pPr>
        <w:jc w:val="both"/>
        <w:rPr>
          <w:rFonts w:ascii="Arial" w:hAnsi="Arial" w:cs="Arial"/>
          <w:noProof/>
          <w:sz w:val="24"/>
          <w:szCs w:val="24"/>
        </w:rPr>
      </w:pPr>
      <w:r>
        <w:rPr>
          <w:rFonts w:ascii="Arial" w:hAnsi="Arial" w:cs="Arial"/>
          <w:noProof/>
          <w:sz w:val="24"/>
          <w:szCs w:val="24"/>
        </w:rPr>
        <w:t>Majelis Hakim Tipikor PN Bengkulu</w:t>
      </w:r>
      <w:r w:rsidR="002536CB">
        <w:rPr>
          <w:rFonts w:ascii="Arial" w:hAnsi="Arial" w:cs="Arial"/>
          <w:noProof/>
          <w:sz w:val="24"/>
          <w:szCs w:val="24"/>
        </w:rPr>
        <w:t xml:space="preserve"> menimbang perbuatan</w:t>
      </w:r>
      <w:r w:rsidR="00484412">
        <w:rPr>
          <w:rFonts w:ascii="Arial" w:hAnsi="Arial" w:cs="Arial"/>
          <w:noProof/>
          <w:sz w:val="24"/>
          <w:szCs w:val="24"/>
        </w:rPr>
        <w:t xml:space="preserve"> Para</w:t>
      </w:r>
      <w:r w:rsidR="002536CB">
        <w:rPr>
          <w:rFonts w:ascii="Arial" w:hAnsi="Arial" w:cs="Arial"/>
          <w:noProof/>
          <w:sz w:val="24"/>
          <w:szCs w:val="24"/>
        </w:rPr>
        <w:t xml:space="preserve"> Terdakwa memenuhi unsur menguntungkan diri sendiri atau orang lain, penyalahgunaan kewenangan, serta merugikan keuangan negara</w:t>
      </w:r>
      <w:r w:rsidR="00484412">
        <w:rPr>
          <w:rFonts w:ascii="Arial" w:hAnsi="Arial" w:cs="Arial"/>
          <w:noProof/>
          <w:sz w:val="24"/>
          <w:szCs w:val="24"/>
        </w:rPr>
        <w:t xml:space="preserve"> secara bersama-sama berdasarkan dakwaan subsidair, yaitu Pasal 3 jo Pasal 18</w:t>
      </w:r>
      <w:r w:rsidR="002536CB">
        <w:rPr>
          <w:rFonts w:ascii="Arial" w:hAnsi="Arial" w:cs="Arial"/>
          <w:noProof/>
          <w:sz w:val="24"/>
          <w:szCs w:val="24"/>
        </w:rPr>
        <w:t xml:space="preserve"> </w:t>
      </w:r>
      <w:r w:rsidR="00484412">
        <w:rPr>
          <w:rFonts w:ascii="Arial" w:hAnsi="Arial" w:cs="Arial"/>
          <w:noProof/>
          <w:sz w:val="24"/>
          <w:szCs w:val="24"/>
        </w:rPr>
        <w:t xml:space="preserve">(1) huruf b UU No. 31 Tahun 1999 </w:t>
      </w:r>
      <w:r w:rsidR="00CA299E">
        <w:rPr>
          <w:rFonts w:ascii="Arial" w:hAnsi="Arial" w:cs="Arial"/>
          <w:noProof/>
          <w:sz w:val="24"/>
          <w:szCs w:val="24"/>
        </w:rPr>
        <w:t>serta perubahannya</w:t>
      </w:r>
      <w:r w:rsidR="00484412">
        <w:rPr>
          <w:rFonts w:ascii="Arial" w:hAnsi="Arial" w:cs="Arial"/>
          <w:noProof/>
          <w:sz w:val="24"/>
          <w:szCs w:val="24"/>
        </w:rPr>
        <w:t xml:space="preserve"> UU No. 20 Tahun 2001 tentang Pemberantasan Tindak Pidana Korupsi jo Pasal 55 ayat (1) ke-1 KUHP.</w:t>
      </w:r>
      <w:r w:rsidR="00CA299E">
        <w:rPr>
          <w:rFonts w:ascii="Arial" w:hAnsi="Arial" w:cs="Arial"/>
          <w:noProof/>
          <w:sz w:val="24"/>
          <w:szCs w:val="24"/>
        </w:rPr>
        <w:t xml:space="preserve"> </w:t>
      </w:r>
      <w:r w:rsidR="00484412">
        <w:rPr>
          <w:rFonts w:ascii="Arial" w:hAnsi="Arial" w:cs="Arial"/>
          <w:noProof/>
          <w:sz w:val="24"/>
          <w:szCs w:val="24"/>
        </w:rPr>
        <w:t>Para Terdakwa diputus 1 tahun 2 bulan pidana penjara dan denda Rp. 50.000.000</w:t>
      </w:r>
      <w:r w:rsidR="001C05F6">
        <w:rPr>
          <w:rFonts w:ascii="Arial" w:hAnsi="Arial" w:cs="Arial"/>
          <w:noProof/>
          <w:sz w:val="24"/>
          <w:szCs w:val="24"/>
        </w:rPr>
        <w:t xml:space="preserve"> yang apabila tidak dibayarkan diganti pidana kurungan 1 bulan serta memerintahkan Penuntut Umum mengembalikan uang titipan Rp. 74.289.779,375 kepada Istri Terdakwa</w:t>
      </w:r>
      <w:r w:rsidR="00045E42">
        <w:rPr>
          <w:rFonts w:ascii="Arial" w:hAnsi="Arial" w:cs="Arial"/>
          <w:noProof/>
          <w:sz w:val="24"/>
          <w:szCs w:val="24"/>
        </w:rPr>
        <w:t xml:space="preserve"> II</w:t>
      </w:r>
      <w:r w:rsidR="00A562B9">
        <w:rPr>
          <w:rFonts w:ascii="Arial" w:hAnsi="Arial" w:cs="Arial"/>
          <w:noProof/>
          <w:sz w:val="24"/>
          <w:szCs w:val="24"/>
        </w:rPr>
        <w:t>.</w:t>
      </w:r>
      <w:r w:rsidR="001C05F6">
        <w:rPr>
          <w:rFonts w:ascii="Arial" w:hAnsi="Arial" w:cs="Arial"/>
          <w:noProof/>
          <w:sz w:val="24"/>
          <w:szCs w:val="24"/>
        </w:rPr>
        <w:t xml:space="preserve"> </w:t>
      </w:r>
    </w:p>
    <w:p w14:paraId="503F4BFD" w14:textId="7B40257C" w:rsidR="001C05F6" w:rsidRDefault="001C05F6" w:rsidP="005E6942">
      <w:pPr>
        <w:jc w:val="both"/>
        <w:rPr>
          <w:rFonts w:ascii="Arial" w:hAnsi="Arial" w:cs="Arial"/>
          <w:noProof/>
          <w:sz w:val="24"/>
          <w:szCs w:val="24"/>
        </w:rPr>
      </w:pPr>
      <w:r>
        <w:rPr>
          <w:rFonts w:ascii="Arial" w:hAnsi="Arial" w:cs="Arial"/>
          <w:noProof/>
          <w:sz w:val="24"/>
          <w:szCs w:val="24"/>
        </w:rPr>
        <w:t>Pada tingkat banding</w:t>
      </w:r>
      <w:r w:rsidR="006D6D17">
        <w:rPr>
          <w:rFonts w:ascii="Arial" w:hAnsi="Arial" w:cs="Arial"/>
          <w:noProof/>
          <w:sz w:val="24"/>
          <w:szCs w:val="24"/>
        </w:rPr>
        <w:t xml:space="preserve"> di Pengadilan Tinggi Bengkulu</w:t>
      </w:r>
      <w:r>
        <w:rPr>
          <w:rFonts w:ascii="Arial" w:hAnsi="Arial" w:cs="Arial"/>
          <w:noProof/>
          <w:sz w:val="24"/>
          <w:szCs w:val="24"/>
        </w:rPr>
        <w:t xml:space="preserve">, Majelis Hakim memperbaiki dan mengubah putusan tersebut </w:t>
      </w:r>
      <w:r w:rsidR="00A562B9">
        <w:rPr>
          <w:rFonts w:ascii="Arial" w:hAnsi="Arial" w:cs="Arial"/>
          <w:noProof/>
          <w:sz w:val="24"/>
          <w:szCs w:val="24"/>
        </w:rPr>
        <w:t>dengan menjatuhkan masing-masing Terdakwa membayar uang pengganti</w:t>
      </w:r>
      <w:r w:rsidR="00045E42">
        <w:rPr>
          <w:rFonts w:ascii="Arial" w:hAnsi="Arial" w:cs="Arial"/>
          <w:noProof/>
          <w:sz w:val="24"/>
          <w:szCs w:val="24"/>
        </w:rPr>
        <w:t xml:space="preserve"> Rp. 74.289.779,375</w:t>
      </w:r>
      <w:r w:rsidR="00A562B9">
        <w:rPr>
          <w:rFonts w:ascii="Arial" w:hAnsi="Arial" w:cs="Arial"/>
          <w:noProof/>
          <w:sz w:val="24"/>
          <w:szCs w:val="24"/>
        </w:rPr>
        <w:t xml:space="preserve"> dengan ketentuan apabila tidak dibayar dalam 1 bulan sesudah putusan berkekuatan hukum tetap, maka harta bendanya disita Jaksa dan dilelang</w:t>
      </w:r>
      <w:r w:rsidR="00E80E1F">
        <w:rPr>
          <w:rFonts w:ascii="Arial" w:hAnsi="Arial" w:cs="Arial"/>
          <w:noProof/>
          <w:sz w:val="24"/>
          <w:szCs w:val="24"/>
        </w:rPr>
        <w:t xml:space="preserve">. </w:t>
      </w:r>
      <w:r w:rsidR="00E00B3B">
        <w:rPr>
          <w:rFonts w:ascii="Arial" w:hAnsi="Arial" w:cs="Arial"/>
          <w:noProof/>
          <w:sz w:val="24"/>
          <w:szCs w:val="24"/>
        </w:rPr>
        <w:t>Jika harta bendanya</w:t>
      </w:r>
      <w:r w:rsidR="00A562B9">
        <w:rPr>
          <w:rFonts w:ascii="Arial" w:hAnsi="Arial" w:cs="Arial"/>
          <w:noProof/>
          <w:sz w:val="24"/>
          <w:szCs w:val="24"/>
        </w:rPr>
        <w:t xml:space="preserve"> </w:t>
      </w:r>
      <w:r w:rsidR="00FB1090">
        <w:rPr>
          <w:rFonts w:ascii="Arial" w:hAnsi="Arial" w:cs="Arial"/>
          <w:noProof/>
          <w:sz w:val="24"/>
          <w:szCs w:val="24"/>
        </w:rPr>
        <w:t xml:space="preserve">tidak </w:t>
      </w:r>
      <w:r w:rsidR="00B61B4D">
        <w:rPr>
          <w:rFonts w:ascii="Arial" w:hAnsi="Arial" w:cs="Arial"/>
          <w:noProof/>
          <w:sz w:val="24"/>
          <w:szCs w:val="24"/>
        </w:rPr>
        <w:t>mencukupi</w:t>
      </w:r>
      <w:r w:rsidR="00E00B3B">
        <w:rPr>
          <w:rFonts w:ascii="Arial" w:hAnsi="Arial" w:cs="Arial"/>
          <w:noProof/>
          <w:sz w:val="24"/>
          <w:szCs w:val="24"/>
        </w:rPr>
        <w:t>,</w:t>
      </w:r>
      <w:r w:rsidR="00B61B4D">
        <w:rPr>
          <w:rFonts w:ascii="Arial" w:hAnsi="Arial" w:cs="Arial"/>
          <w:noProof/>
          <w:sz w:val="24"/>
          <w:szCs w:val="24"/>
        </w:rPr>
        <w:t xml:space="preserve"> maka</w:t>
      </w:r>
      <w:r w:rsidR="00A562B9">
        <w:rPr>
          <w:rFonts w:ascii="Arial" w:hAnsi="Arial" w:cs="Arial"/>
          <w:noProof/>
          <w:sz w:val="24"/>
          <w:szCs w:val="24"/>
        </w:rPr>
        <w:t xml:space="preserve"> </w:t>
      </w:r>
      <w:r w:rsidR="00045E42">
        <w:rPr>
          <w:rFonts w:ascii="Arial" w:hAnsi="Arial" w:cs="Arial"/>
          <w:noProof/>
          <w:sz w:val="24"/>
          <w:szCs w:val="24"/>
        </w:rPr>
        <w:t xml:space="preserve">Terdakwa I </w:t>
      </w:r>
      <w:r w:rsidR="00A562B9">
        <w:rPr>
          <w:rFonts w:ascii="Arial" w:hAnsi="Arial" w:cs="Arial"/>
          <w:noProof/>
          <w:sz w:val="24"/>
          <w:szCs w:val="24"/>
        </w:rPr>
        <w:t>dipidana penjara 1 t</w:t>
      </w:r>
      <w:r w:rsidR="00045E42">
        <w:rPr>
          <w:rFonts w:ascii="Arial" w:hAnsi="Arial" w:cs="Arial"/>
          <w:noProof/>
          <w:sz w:val="24"/>
          <w:szCs w:val="24"/>
        </w:rPr>
        <w:t>a</w:t>
      </w:r>
      <w:r w:rsidR="00A562B9">
        <w:rPr>
          <w:rFonts w:ascii="Arial" w:hAnsi="Arial" w:cs="Arial"/>
          <w:noProof/>
          <w:sz w:val="24"/>
          <w:szCs w:val="24"/>
        </w:rPr>
        <w:t>hun 3 bulan, Terdakwa II selama 11 bulan</w:t>
      </w:r>
      <w:r w:rsidR="00CA299E">
        <w:rPr>
          <w:rFonts w:ascii="Arial" w:hAnsi="Arial" w:cs="Arial"/>
          <w:noProof/>
          <w:sz w:val="24"/>
          <w:szCs w:val="24"/>
        </w:rPr>
        <w:t>,</w:t>
      </w:r>
      <w:r w:rsidR="00045E42">
        <w:rPr>
          <w:rFonts w:ascii="Arial" w:hAnsi="Arial" w:cs="Arial"/>
          <w:noProof/>
          <w:sz w:val="24"/>
          <w:szCs w:val="24"/>
        </w:rPr>
        <w:t xml:space="preserve"> serta menetapkan uang titipan Rp. 74.289.779,375 dari Istri Terdakwa II sebagai uang pengganti kerugian </w:t>
      </w:r>
      <w:r w:rsidR="00CA299E">
        <w:rPr>
          <w:rFonts w:ascii="Arial" w:hAnsi="Arial" w:cs="Arial"/>
          <w:noProof/>
          <w:sz w:val="24"/>
          <w:szCs w:val="24"/>
        </w:rPr>
        <w:t xml:space="preserve">negara </w:t>
      </w:r>
      <w:r w:rsidR="00045E42">
        <w:rPr>
          <w:rFonts w:ascii="Arial" w:hAnsi="Arial" w:cs="Arial"/>
          <w:noProof/>
          <w:sz w:val="24"/>
          <w:szCs w:val="24"/>
        </w:rPr>
        <w:t>atas nama Terdakwa II.</w:t>
      </w:r>
    </w:p>
    <w:p w14:paraId="0A044F90" w14:textId="24EFE279" w:rsidR="005E6942" w:rsidRDefault="00045E42" w:rsidP="005E6942">
      <w:pPr>
        <w:jc w:val="both"/>
        <w:rPr>
          <w:rFonts w:ascii="Arial" w:hAnsi="Arial" w:cs="Arial"/>
          <w:noProof/>
          <w:sz w:val="24"/>
          <w:szCs w:val="24"/>
        </w:rPr>
      </w:pPr>
      <w:r>
        <w:rPr>
          <w:rFonts w:ascii="Arial" w:hAnsi="Arial" w:cs="Arial"/>
          <w:noProof/>
          <w:sz w:val="24"/>
          <w:szCs w:val="24"/>
        </w:rPr>
        <w:t xml:space="preserve">Pada tingkat kasasi, </w:t>
      </w:r>
      <w:r w:rsidR="006D6D17">
        <w:rPr>
          <w:rFonts w:ascii="Arial" w:hAnsi="Arial" w:cs="Arial"/>
          <w:noProof/>
          <w:sz w:val="24"/>
          <w:szCs w:val="24"/>
        </w:rPr>
        <w:t>Majelis Hakim menimbang putusan Judex Facti yang menjatuhkan pidana tambahan berupa uang pengganti telah salah penerapan hukum karena tidak ada fakta yang membuktikan adanya aliran dana hasil korupsi yang diperoleh atau dinikmati oleh Para Terdakwa</w:t>
      </w:r>
      <w:r w:rsidR="00E80E1F">
        <w:rPr>
          <w:rFonts w:ascii="Arial" w:hAnsi="Arial" w:cs="Arial"/>
          <w:noProof/>
          <w:sz w:val="24"/>
          <w:szCs w:val="24"/>
        </w:rPr>
        <w:t>.</w:t>
      </w:r>
      <w:r w:rsidR="006D6D17">
        <w:rPr>
          <w:rFonts w:ascii="Arial" w:hAnsi="Arial" w:cs="Arial"/>
          <w:noProof/>
          <w:sz w:val="24"/>
          <w:szCs w:val="24"/>
        </w:rPr>
        <w:t xml:space="preserve"> Majelis</w:t>
      </w:r>
      <w:r w:rsidR="00E80E1F">
        <w:rPr>
          <w:rFonts w:ascii="Arial" w:hAnsi="Arial" w:cs="Arial"/>
          <w:noProof/>
          <w:sz w:val="24"/>
          <w:szCs w:val="24"/>
        </w:rPr>
        <w:t xml:space="preserve"> </w:t>
      </w:r>
      <w:r w:rsidR="006D6D17">
        <w:rPr>
          <w:rFonts w:ascii="Arial" w:hAnsi="Arial" w:cs="Arial"/>
          <w:noProof/>
          <w:sz w:val="24"/>
          <w:szCs w:val="24"/>
        </w:rPr>
        <w:t xml:space="preserve">memperbaiki putusan </w:t>
      </w:r>
      <w:r w:rsidR="00B61B4D">
        <w:rPr>
          <w:rFonts w:ascii="Arial" w:hAnsi="Arial" w:cs="Arial"/>
          <w:noProof/>
          <w:sz w:val="24"/>
          <w:szCs w:val="24"/>
        </w:rPr>
        <w:t>tersebut</w:t>
      </w:r>
      <w:r w:rsidR="006D6D17">
        <w:rPr>
          <w:rFonts w:ascii="Arial" w:hAnsi="Arial" w:cs="Arial"/>
          <w:noProof/>
          <w:sz w:val="24"/>
          <w:szCs w:val="24"/>
        </w:rPr>
        <w:t xml:space="preserve"> mengenai pembebanan pidana tambahan dengan memerintahkan Penuntut Umum mengembalikan uang titipan </w:t>
      </w:r>
      <w:r w:rsidR="00CA299E">
        <w:rPr>
          <w:rFonts w:ascii="Arial" w:hAnsi="Arial" w:cs="Arial"/>
          <w:noProof/>
          <w:sz w:val="24"/>
          <w:szCs w:val="24"/>
        </w:rPr>
        <w:t>Rp. 74.289.779,375 kepada Istri Terdakwa II.</w:t>
      </w:r>
    </w:p>
    <w:p w14:paraId="2729CBEF" w14:textId="77777777" w:rsidR="00B61B4D" w:rsidRDefault="00B61B4D" w:rsidP="005E6942">
      <w:pPr>
        <w:jc w:val="both"/>
        <w:rPr>
          <w:rFonts w:ascii="Arial" w:hAnsi="Arial" w:cs="Arial"/>
          <w:noProof/>
          <w:sz w:val="24"/>
          <w:szCs w:val="24"/>
        </w:rPr>
      </w:pPr>
    </w:p>
    <w:p w14:paraId="626D0799" w14:textId="1F87F9A9" w:rsidR="005E6942" w:rsidRDefault="005E6942" w:rsidP="005E6942">
      <w:pPr>
        <w:jc w:val="both"/>
        <w:rPr>
          <w:rFonts w:ascii="Arial" w:hAnsi="Arial" w:cs="Arial"/>
          <w:noProof/>
          <w:sz w:val="24"/>
          <w:szCs w:val="24"/>
        </w:rPr>
      </w:pPr>
      <w:r>
        <w:rPr>
          <w:rFonts w:ascii="Arial" w:hAnsi="Arial" w:cs="Arial"/>
          <w:noProof/>
          <w:sz w:val="24"/>
          <w:szCs w:val="24"/>
        </w:rPr>
        <w:lastRenderedPageBreak/>
        <w:t xml:space="preserve">→ Putusan Mahkamah Agung Nomor </w:t>
      </w:r>
      <w:r w:rsidR="00B61B4D">
        <w:rPr>
          <w:rFonts w:ascii="Arial" w:hAnsi="Arial" w:cs="Arial"/>
          <w:noProof/>
          <w:sz w:val="24"/>
          <w:szCs w:val="24"/>
        </w:rPr>
        <w:t>1070 K/Pid.Sus/2020, 3 Juni 2020</w:t>
      </w:r>
    </w:p>
    <w:p w14:paraId="0BC972F2" w14:textId="77777777" w:rsidR="005E6942" w:rsidRDefault="005E6942" w:rsidP="005E6942">
      <w:pPr>
        <w:jc w:val="both"/>
        <w:rPr>
          <w:rFonts w:ascii="Arial" w:hAnsi="Arial" w:cs="Arial"/>
          <w:noProof/>
          <w:sz w:val="24"/>
          <w:szCs w:val="24"/>
        </w:rPr>
      </w:pPr>
    </w:p>
    <w:p w14:paraId="4A4B52C7" w14:textId="54A46D03" w:rsidR="005E6942" w:rsidRPr="008B5B53" w:rsidRDefault="005E6942" w:rsidP="005E6942">
      <w:pPr>
        <w:jc w:val="both"/>
      </w:pPr>
      <w:r>
        <w:rPr>
          <w:rFonts w:ascii="Arial" w:hAnsi="Arial" w:cs="Arial"/>
          <w:noProof/>
          <w:sz w:val="24"/>
          <w:szCs w:val="24"/>
        </w:rPr>
        <w:t xml:space="preserve">Sumber: </w:t>
      </w:r>
    </w:p>
    <w:p w14:paraId="46B38438" w14:textId="39700FE9" w:rsidR="005E6942" w:rsidRDefault="0087290C" w:rsidP="005E6942">
      <w:pPr>
        <w:spacing w:after="0"/>
        <w:jc w:val="both"/>
        <w:rPr>
          <w:rFonts w:ascii="Arial" w:hAnsi="Arial" w:cs="Arial"/>
          <w:sz w:val="24"/>
          <w:szCs w:val="24"/>
        </w:rPr>
      </w:pPr>
      <w:hyperlink r:id="rId5" w:history="1">
        <w:r w:rsidRPr="00F913F9">
          <w:rPr>
            <w:rStyle w:val="Hyperlink"/>
            <w:rFonts w:ascii="Arial" w:hAnsi="Arial" w:cs="Arial"/>
            <w:sz w:val="24"/>
            <w:szCs w:val="24"/>
          </w:rPr>
          <w:t>https://putusan3.mahkamahagung.go.id/direktori/putusan/zaec5f3e5f04187683f0323033363432.html</w:t>
        </w:r>
      </w:hyperlink>
      <w:r>
        <w:rPr>
          <w:rFonts w:ascii="Arial" w:hAnsi="Arial" w:cs="Arial"/>
          <w:sz w:val="24"/>
          <w:szCs w:val="24"/>
        </w:rPr>
        <w:t xml:space="preserve"> </w:t>
      </w:r>
    </w:p>
    <w:p w14:paraId="4331C40E" w14:textId="77777777" w:rsidR="0087290C" w:rsidRPr="00645E16" w:rsidRDefault="0087290C" w:rsidP="005E6942">
      <w:pPr>
        <w:spacing w:after="0"/>
        <w:jc w:val="both"/>
        <w:rPr>
          <w:rFonts w:ascii="Arial" w:hAnsi="Arial" w:cs="Arial"/>
          <w:sz w:val="24"/>
          <w:szCs w:val="24"/>
        </w:rPr>
      </w:pPr>
    </w:p>
    <w:p w14:paraId="6FE42FB5" w14:textId="77777777" w:rsidR="005E6942" w:rsidRDefault="005E6942" w:rsidP="005E6942">
      <w:pPr>
        <w:spacing w:after="0"/>
        <w:jc w:val="both"/>
        <w:rPr>
          <w:rFonts w:ascii="Arial" w:hAnsi="Arial" w:cs="Arial"/>
          <w:noProof/>
          <w:sz w:val="24"/>
          <w:szCs w:val="24"/>
        </w:rPr>
      </w:pPr>
      <w:r>
        <w:rPr>
          <w:rFonts w:ascii="Arial" w:hAnsi="Arial" w:cs="Arial"/>
          <w:noProof/>
          <w:sz w:val="24"/>
          <w:szCs w:val="24"/>
        </w:rPr>
        <w:t>Salam Pengadaan,</w:t>
      </w:r>
    </w:p>
    <w:p w14:paraId="20072B04" w14:textId="77777777" w:rsidR="005E6942" w:rsidRDefault="005E6942" w:rsidP="005E6942">
      <w:pPr>
        <w:spacing w:after="0"/>
        <w:jc w:val="both"/>
        <w:rPr>
          <w:rFonts w:ascii="Arial" w:hAnsi="Arial" w:cs="Arial"/>
          <w:noProof/>
          <w:sz w:val="24"/>
          <w:szCs w:val="24"/>
        </w:rPr>
      </w:pPr>
      <w:r>
        <w:rPr>
          <w:rFonts w:ascii="Arial" w:hAnsi="Arial" w:cs="Arial"/>
          <w:noProof/>
          <w:sz w:val="24"/>
          <w:szCs w:val="24"/>
        </w:rPr>
        <w:t>LBH Pengadaan Publik Indonesia</w:t>
      </w:r>
    </w:p>
    <w:p w14:paraId="4E0A0075" w14:textId="77777777" w:rsidR="005E6942" w:rsidRDefault="005E6942" w:rsidP="005E6942">
      <w:pPr>
        <w:spacing w:after="0"/>
        <w:jc w:val="both"/>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70C077B2" w14:textId="77777777" w:rsidR="005E6942" w:rsidRDefault="005E6942" w:rsidP="005E6942"/>
    <w:p w14:paraId="22D0975D"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B73C2"/>
    <w:multiLevelType w:val="hybridMultilevel"/>
    <w:tmpl w:val="302EC5E2"/>
    <w:lvl w:ilvl="0" w:tplc="7132FD40">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727529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942"/>
    <w:rsid w:val="00045E42"/>
    <w:rsid w:val="000D063E"/>
    <w:rsid w:val="00143EBE"/>
    <w:rsid w:val="001C05F6"/>
    <w:rsid w:val="002536CB"/>
    <w:rsid w:val="00422ADC"/>
    <w:rsid w:val="004747CC"/>
    <w:rsid w:val="00484412"/>
    <w:rsid w:val="00486111"/>
    <w:rsid w:val="005E6942"/>
    <w:rsid w:val="00686555"/>
    <w:rsid w:val="006D6D17"/>
    <w:rsid w:val="00701CEA"/>
    <w:rsid w:val="00776034"/>
    <w:rsid w:val="007C6969"/>
    <w:rsid w:val="00871CE2"/>
    <w:rsid w:val="0087290C"/>
    <w:rsid w:val="009C7E3C"/>
    <w:rsid w:val="00A562B9"/>
    <w:rsid w:val="00A80D5B"/>
    <w:rsid w:val="00B61B4D"/>
    <w:rsid w:val="00CA299E"/>
    <w:rsid w:val="00DB5425"/>
    <w:rsid w:val="00DE0A36"/>
    <w:rsid w:val="00E00B3B"/>
    <w:rsid w:val="00E80E1F"/>
    <w:rsid w:val="00E8445D"/>
    <w:rsid w:val="00FB109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EDE64"/>
  <w15:chartTrackingRefBased/>
  <w15:docId w15:val="{D9EFE702-7631-4A9F-A701-2E355AE3B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942"/>
  </w:style>
  <w:style w:type="paragraph" w:styleId="Heading1">
    <w:name w:val="heading 1"/>
    <w:basedOn w:val="Normal"/>
    <w:next w:val="Normal"/>
    <w:link w:val="Heading1Char"/>
    <w:uiPriority w:val="9"/>
    <w:qFormat/>
    <w:rsid w:val="005E69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69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69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69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69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69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69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69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69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9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69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69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69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69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69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9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9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942"/>
    <w:rPr>
      <w:rFonts w:eastAsiaTheme="majorEastAsia" w:cstheme="majorBidi"/>
      <w:color w:val="272727" w:themeColor="text1" w:themeTint="D8"/>
    </w:rPr>
  </w:style>
  <w:style w:type="paragraph" w:styleId="Title">
    <w:name w:val="Title"/>
    <w:basedOn w:val="Normal"/>
    <w:next w:val="Normal"/>
    <w:link w:val="TitleChar"/>
    <w:uiPriority w:val="10"/>
    <w:qFormat/>
    <w:rsid w:val="005E69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9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9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9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942"/>
    <w:pPr>
      <w:spacing w:before="160"/>
      <w:jc w:val="center"/>
    </w:pPr>
    <w:rPr>
      <w:i/>
      <w:iCs/>
      <w:color w:val="404040" w:themeColor="text1" w:themeTint="BF"/>
    </w:rPr>
  </w:style>
  <w:style w:type="character" w:customStyle="1" w:styleId="QuoteChar">
    <w:name w:val="Quote Char"/>
    <w:basedOn w:val="DefaultParagraphFont"/>
    <w:link w:val="Quote"/>
    <w:uiPriority w:val="29"/>
    <w:rsid w:val="005E6942"/>
    <w:rPr>
      <w:i/>
      <w:iCs/>
      <w:color w:val="404040" w:themeColor="text1" w:themeTint="BF"/>
    </w:rPr>
  </w:style>
  <w:style w:type="paragraph" w:styleId="ListParagraph">
    <w:name w:val="List Paragraph"/>
    <w:basedOn w:val="Normal"/>
    <w:uiPriority w:val="34"/>
    <w:qFormat/>
    <w:rsid w:val="005E6942"/>
    <w:pPr>
      <w:ind w:left="720"/>
      <w:contextualSpacing/>
    </w:pPr>
  </w:style>
  <w:style w:type="character" w:styleId="IntenseEmphasis">
    <w:name w:val="Intense Emphasis"/>
    <w:basedOn w:val="DefaultParagraphFont"/>
    <w:uiPriority w:val="21"/>
    <w:qFormat/>
    <w:rsid w:val="005E6942"/>
    <w:rPr>
      <w:i/>
      <w:iCs/>
      <w:color w:val="2F5496" w:themeColor="accent1" w:themeShade="BF"/>
    </w:rPr>
  </w:style>
  <w:style w:type="paragraph" w:styleId="IntenseQuote">
    <w:name w:val="Intense Quote"/>
    <w:basedOn w:val="Normal"/>
    <w:next w:val="Normal"/>
    <w:link w:val="IntenseQuoteChar"/>
    <w:uiPriority w:val="30"/>
    <w:qFormat/>
    <w:rsid w:val="005E69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6942"/>
    <w:rPr>
      <w:i/>
      <w:iCs/>
      <w:color w:val="2F5496" w:themeColor="accent1" w:themeShade="BF"/>
    </w:rPr>
  </w:style>
  <w:style w:type="character" w:styleId="IntenseReference">
    <w:name w:val="Intense Reference"/>
    <w:basedOn w:val="DefaultParagraphFont"/>
    <w:uiPriority w:val="32"/>
    <w:qFormat/>
    <w:rsid w:val="005E6942"/>
    <w:rPr>
      <w:b/>
      <w:bCs/>
      <w:smallCaps/>
      <w:color w:val="2F5496" w:themeColor="accent1" w:themeShade="BF"/>
      <w:spacing w:val="5"/>
    </w:rPr>
  </w:style>
  <w:style w:type="character" w:styleId="Hyperlink">
    <w:name w:val="Hyperlink"/>
    <w:basedOn w:val="DefaultParagraphFont"/>
    <w:uiPriority w:val="99"/>
    <w:unhideWhenUsed/>
    <w:rsid w:val="005E6942"/>
    <w:rPr>
      <w:color w:val="0563C1" w:themeColor="hyperlink"/>
      <w:u w:val="single"/>
    </w:rPr>
  </w:style>
  <w:style w:type="character" w:styleId="UnresolvedMention">
    <w:name w:val="Unresolved Mention"/>
    <w:basedOn w:val="DefaultParagraphFont"/>
    <w:uiPriority w:val="99"/>
    <w:semiHidden/>
    <w:unhideWhenUsed/>
    <w:rsid w:val="00872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zaec5f3e5f04187683f0323033363432.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407</TotalTime>
  <Pages>1</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5</cp:revision>
  <dcterms:created xsi:type="dcterms:W3CDTF">2025-08-07T01:36:00Z</dcterms:created>
  <dcterms:modified xsi:type="dcterms:W3CDTF">2025-08-07T10:14:00Z</dcterms:modified>
</cp:coreProperties>
</file>