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36407E" w14:textId="77777777" w:rsidR="004D0FA8" w:rsidRDefault="004D0FA8" w:rsidP="004D0FA8">
      <w:pPr>
        <w:spacing w:after="0"/>
        <w:jc w:val="both"/>
        <w:rPr>
          <w:rFonts w:ascii="Arial" w:hAnsi="Arial" w:cs="Arial"/>
          <w:noProof/>
          <w:sz w:val="24"/>
          <w:szCs w:val="24"/>
        </w:rPr>
      </w:pPr>
      <w:r w:rsidRPr="008D1C7C">
        <w:rPr>
          <w:rFonts w:ascii="Arial" w:hAnsi="Arial" w:cs="Arial"/>
          <w:b/>
          <w:bCs/>
          <w:noProof/>
          <w:sz w:val="24"/>
          <w:szCs w:val="24"/>
        </w:rPr>
        <w:t>Pencerahan Hukum</w:t>
      </w:r>
      <w:r>
        <w:rPr>
          <w:rFonts w:ascii="Arial" w:hAnsi="Arial" w:cs="Arial"/>
          <w:noProof/>
          <w:sz w:val="24"/>
          <w:szCs w:val="24"/>
        </w:rPr>
        <w:t xml:space="preserve"> </w:t>
      </w:r>
      <w:r>
        <w:rPr>
          <w:rFonts w:ascii="Arial" w:hAnsi="Arial" w:cs="Arial"/>
          <w:b/>
          <w:bCs/>
          <w:noProof/>
          <w:sz w:val="24"/>
          <w:szCs w:val="24"/>
        </w:rPr>
        <w:t>Hari Ini</w:t>
      </w:r>
    </w:p>
    <w:p w14:paraId="0854E37D" w14:textId="5DE8EFA9" w:rsidR="004D0FA8" w:rsidRDefault="004D0FA8" w:rsidP="004D0FA8">
      <w:pPr>
        <w:jc w:val="both"/>
        <w:rPr>
          <w:rFonts w:ascii="Arial" w:hAnsi="Arial" w:cs="Arial"/>
          <w:b/>
          <w:bCs/>
          <w:noProof/>
          <w:sz w:val="24"/>
          <w:szCs w:val="24"/>
        </w:rPr>
      </w:pPr>
      <w:r>
        <w:rPr>
          <w:rFonts w:ascii="Arial" w:hAnsi="Arial" w:cs="Arial"/>
          <w:b/>
          <w:bCs/>
          <w:noProof/>
          <w:sz w:val="24"/>
          <w:szCs w:val="24"/>
        </w:rPr>
        <w:t xml:space="preserve">Jumat, </w:t>
      </w:r>
      <w:r>
        <w:rPr>
          <w:rFonts w:ascii="Arial" w:hAnsi="Arial" w:cs="Arial"/>
          <w:b/>
          <w:bCs/>
          <w:noProof/>
          <w:sz w:val="24"/>
          <w:szCs w:val="24"/>
        </w:rPr>
        <w:t>05 Desember 2025</w:t>
      </w:r>
    </w:p>
    <w:p w14:paraId="3BA7F15A" w14:textId="0B8CCCB6" w:rsidR="004D0FA8" w:rsidRDefault="007F3343" w:rsidP="004D0FA8">
      <w:pPr>
        <w:jc w:val="both"/>
        <w:rPr>
          <w:rFonts w:ascii="Arial" w:hAnsi="Arial" w:cs="Arial"/>
          <w:b/>
          <w:bCs/>
          <w:noProof/>
          <w:sz w:val="24"/>
          <w:szCs w:val="24"/>
        </w:rPr>
      </w:pPr>
      <w:r>
        <w:rPr>
          <w:rFonts w:ascii="Arial" w:hAnsi="Arial" w:cs="Arial"/>
          <w:b/>
          <w:bCs/>
          <w:noProof/>
          <w:sz w:val="24"/>
          <w:szCs w:val="24"/>
        </w:rPr>
        <w:t>MAHKAMAH AGUNG MEMUTUSKAN</w:t>
      </w:r>
      <w:r w:rsidR="00774777">
        <w:rPr>
          <w:rFonts w:ascii="Arial" w:hAnsi="Arial" w:cs="Arial"/>
          <w:b/>
          <w:bCs/>
          <w:noProof/>
          <w:sz w:val="24"/>
          <w:szCs w:val="24"/>
        </w:rPr>
        <w:t xml:space="preserve"> </w:t>
      </w:r>
      <w:r>
        <w:rPr>
          <w:rFonts w:ascii="Arial" w:hAnsi="Arial" w:cs="Arial"/>
          <w:b/>
          <w:bCs/>
          <w:noProof/>
          <w:sz w:val="24"/>
          <w:szCs w:val="24"/>
        </w:rPr>
        <w:t>PENGADILAN NEGERI</w:t>
      </w:r>
      <w:r w:rsidRPr="007F3343">
        <w:rPr>
          <w:rFonts w:ascii="Arial" w:hAnsi="Arial" w:cs="Arial"/>
          <w:b/>
          <w:bCs/>
          <w:noProof/>
          <w:sz w:val="24"/>
          <w:szCs w:val="24"/>
        </w:rPr>
        <w:t xml:space="preserve"> </w:t>
      </w:r>
      <w:r>
        <w:rPr>
          <w:rFonts w:ascii="Arial" w:hAnsi="Arial" w:cs="Arial"/>
          <w:b/>
          <w:bCs/>
          <w:noProof/>
          <w:sz w:val="24"/>
          <w:szCs w:val="24"/>
        </w:rPr>
        <w:t xml:space="preserve">TIDAK BERWENANG MENGADILI </w:t>
      </w:r>
      <w:r w:rsidRPr="007F3343">
        <w:rPr>
          <w:rFonts w:ascii="Arial" w:hAnsi="Arial" w:cs="Arial"/>
          <w:b/>
          <w:bCs/>
          <w:noProof/>
          <w:sz w:val="24"/>
          <w:szCs w:val="24"/>
        </w:rPr>
        <w:t>PERBUATAN MELANGGAR HUKUM OLEH BADAN DAN/ATAU PEJABAT PEMERINTAH (</w:t>
      </w:r>
      <w:r w:rsidRPr="007F3343">
        <w:rPr>
          <w:rFonts w:ascii="Arial" w:hAnsi="Arial" w:cs="Arial"/>
          <w:b/>
          <w:bCs/>
          <w:i/>
          <w:iCs/>
          <w:noProof/>
          <w:sz w:val="24"/>
          <w:szCs w:val="24"/>
        </w:rPr>
        <w:t>ONRECHTMATIGE OVERHEIDSDAAD</w:t>
      </w:r>
      <w:r w:rsidRPr="007F3343">
        <w:rPr>
          <w:rFonts w:ascii="Arial" w:hAnsi="Arial" w:cs="Arial"/>
          <w:b/>
          <w:bCs/>
          <w:noProof/>
          <w:sz w:val="24"/>
          <w:szCs w:val="24"/>
        </w:rPr>
        <w:t>)</w:t>
      </w:r>
      <w:r>
        <w:rPr>
          <w:rFonts w:ascii="Arial" w:hAnsi="Arial" w:cs="Arial"/>
          <w:b/>
          <w:bCs/>
          <w:noProof/>
          <w:sz w:val="24"/>
          <w:szCs w:val="24"/>
        </w:rPr>
        <w:t xml:space="preserve"> </w:t>
      </w:r>
    </w:p>
    <w:p w14:paraId="1E81849B" w14:textId="1CF6AC80" w:rsidR="00433D1C" w:rsidRDefault="004D0FA8" w:rsidP="00433D1C">
      <w:pPr>
        <w:jc w:val="both"/>
        <w:rPr>
          <w:rFonts w:ascii="Arial" w:hAnsi="Arial" w:cs="Arial"/>
          <w:noProof/>
          <w:sz w:val="24"/>
          <w:szCs w:val="24"/>
        </w:rPr>
      </w:pPr>
      <w:r>
        <w:rPr>
          <w:rFonts w:ascii="Arial" w:hAnsi="Arial" w:cs="Arial"/>
          <w:noProof/>
          <w:sz w:val="24"/>
          <w:szCs w:val="24"/>
        </w:rPr>
        <w:t>CV. Bina Karya Lestari (</w:t>
      </w:r>
      <w:r>
        <w:rPr>
          <w:rFonts w:ascii="Arial" w:hAnsi="Arial" w:cs="Arial"/>
          <w:b/>
          <w:bCs/>
          <w:noProof/>
          <w:sz w:val="24"/>
          <w:szCs w:val="24"/>
        </w:rPr>
        <w:t>Penggugat</w:t>
      </w:r>
      <w:r>
        <w:rPr>
          <w:rFonts w:ascii="Arial" w:hAnsi="Arial" w:cs="Arial"/>
          <w:noProof/>
          <w:sz w:val="24"/>
          <w:szCs w:val="24"/>
        </w:rPr>
        <w:t>) mengajukan gugatan</w:t>
      </w:r>
      <w:r w:rsidR="0090401F">
        <w:rPr>
          <w:rFonts w:ascii="Arial" w:hAnsi="Arial" w:cs="Arial"/>
          <w:noProof/>
          <w:sz w:val="24"/>
          <w:szCs w:val="24"/>
        </w:rPr>
        <w:t xml:space="preserve"> Perbuatan Melawan Hukum</w:t>
      </w:r>
      <w:r>
        <w:rPr>
          <w:rFonts w:ascii="Arial" w:hAnsi="Arial" w:cs="Arial"/>
          <w:noProof/>
          <w:sz w:val="24"/>
          <w:szCs w:val="24"/>
        </w:rPr>
        <w:t xml:space="preserve"> ke PN Temanggung terhadap Pemerintah Kabupaten Temanggung cq. Kepala Dinas Pertanian dan Ketahanan Pangan Kabupaten Temanggung cq. Pokja ULP Kabupaten Temanggung (</w:t>
      </w:r>
      <w:r>
        <w:rPr>
          <w:rFonts w:ascii="Arial" w:hAnsi="Arial" w:cs="Arial"/>
          <w:b/>
          <w:bCs/>
          <w:noProof/>
          <w:sz w:val="24"/>
          <w:szCs w:val="24"/>
        </w:rPr>
        <w:t>Tergugat</w:t>
      </w:r>
      <w:r>
        <w:rPr>
          <w:rFonts w:ascii="Arial" w:hAnsi="Arial" w:cs="Arial"/>
          <w:noProof/>
          <w:sz w:val="24"/>
          <w:szCs w:val="24"/>
        </w:rPr>
        <w:t>), PT. Alma Wira Abadi (</w:t>
      </w:r>
      <w:r>
        <w:rPr>
          <w:rFonts w:ascii="Arial" w:hAnsi="Arial" w:cs="Arial"/>
          <w:b/>
          <w:bCs/>
          <w:noProof/>
          <w:sz w:val="24"/>
          <w:szCs w:val="24"/>
        </w:rPr>
        <w:t>Turut Tergugat I</w:t>
      </w:r>
      <w:r>
        <w:rPr>
          <w:rFonts w:ascii="Arial" w:hAnsi="Arial" w:cs="Arial"/>
          <w:noProof/>
          <w:sz w:val="24"/>
          <w:szCs w:val="24"/>
        </w:rPr>
        <w:t>), serta CV. Saprotan Utama (</w:t>
      </w:r>
      <w:r>
        <w:rPr>
          <w:rFonts w:ascii="Arial" w:hAnsi="Arial" w:cs="Arial"/>
          <w:b/>
          <w:bCs/>
          <w:noProof/>
          <w:sz w:val="24"/>
          <w:szCs w:val="24"/>
        </w:rPr>
        <w:t>Turut Tergugat II</w:t>
      </w:r>
      <w:r>
        <w:rPr>
          <w:rFonts w:ascii="Arial" w:hAnsi="Arial" w:cs="Arial"/>
          <w:noProof/>
          <w:sz w:val="24"/>
          <w:szCs w:val="24"/>
        </w:rPr>
        <w:t>)</w:t>
      </w:r>
      <w:r w:rsidR="00433D1C">
        <w:rPr>
          <w:rFonts w:ascii="Arial" w:hAnsi="Arial" w:cs="Arial"/>
          <w:noProof/>
          <w:sz w:val="24"/>
          <w:szCs w:val="24"/>
        </w:rPr>
        <w:t>.</w:t>
      </w:r>
    </w:p>
    <w:p w14:paraId="72209A7C" w14:textId="5E89845A" w:rsidR="004D0FA8" w:rsidRDefault="00B02A91" w:rsidP="00433D1C">
      <w:pPr>
        <w:jc w:val="both"/>
        <w:rPr>
          <w:rFonts w:ascii="Arial" w:hAnsi="Arial" w:cs="Arial"/>
          <w:noProof/>
          <w:sz w:val="24"/>
          <w:szCs w:val="24"/>
        </w:rPr>
      </w:pPr>
      <w:r>
        <w:rPr>
          <w:rFonts w:ascii="Arial" w:hAnsi="Arial" w:cs="Arial"/>
          <w:noProof/>
          <w:sz w:val="24"/>
          <w:szCs w:val="24"/>
        </w:rPr>
        <w:t xml:space="preserve">Dalam gugatannya, </w:t>
      </w:r>
      <w:r w:rsidRPr="00173DF0">
        <w:rPr>
          <w:rFonts w:ascii="Arial" w:hAnsi="Arial" w:cs="Arial"/>
          <w:b/>
          <w:bCs/>
          <w:noProof/>
          <w:sz w:val="24"/>
          <w:szCs w:val="24"/>
        </w:rPr>
        <w:t>Penggugat</w:t>
      </w:r>
      <w:r>
        <w:rPr>
          <w:rFonts w:ascii="Arial" w:hAnsi="Arial" w:cs="Arial"/>
          <w:noProof/>
          <w:sz w:val="24"/>
          <w:szCs w:val="24"/>
        </w:rPr>
        <w:t xml:space="preserve"> menyatakan bahwa tender Pekerjaan Pengadaan Pupuk Tanaman untuk Pekerjaan Pemupukan Berimbang Pada Tanaman Tembakau (DBHCHT)</w:t>
      </w:r>
      <w:r w:rsidR="00B50AB8">
        <w:rPr>
          <w:rFonts w:ascii="Arial" w:hAnsi="Arial" w:cs="Arial"/>
          <w:noProof/>
          <w:sz w:val="24"/>
          <w:szCs w:val="24"/>
        </w:rPr>
        <w:t xml:space="preserve"> T.A 2018</w:t>
      </w:r>
      <w:r>
        <w:rPr>
          <w:rFonts w:ascii="Arial" w:hAnsi="Arial" w:cs="Arial"/>
          <w:noProof/>
          <w:sz w:val="24"/>
          <w:szCs w:val="24"/>
        </w:rPr>
        <w:t xml:space="preserve"> </w:t>
      </w:r>
      <w:r w:rsidR="007E51ED">
        <w:rPr>
          <w:rFonts w:ascii="Arial" w:hAnsi="Arial" w:cs="Arial"/>
          <w:noProof/>
          <w:sz w:val="24"/>
          <w:szCs w:val="24"/>
        </w:rPr>
        <w:t xml:space="preserve">yang </w:t>
      </w:r>
      <w:r w:rsidR="00173DF0">
        <w:rPr>
          <w:rFonts w:ascii="Arial" w:hAnsi="Arial" w:cs="Arial"/>
          <w:noProof/>
          <w:sz w:val="24"/>
          <w:szCs w:val="24"/>
        </w:rPr>
        <w:t>P</w:t>
      </w:r>
      <w:r w:rsidR="007E51ED">
        <w:rPr>
          <w:rFonts w:ascii="Arial" w:hAnsi="Arial" w:cs="Arial"/>
          <w:noProof/>
          <w:sz w:val="24"/>
          <w:szCs w:val="24"/>
        </w:rPr>
        <w:t>enggugat ikuti</w:t>
      </w:r>
      <w:r w:rsidR="00173DF0">
        <w:rPr>
          <w:rFonts w:ascii="Arial" w:hAnsi="Arial" w:cs="Arial"/>
          <w:noProof/>
          <w:sz w:val="24"/>
          <w:szCs w:val="24"/>
        </w:rPr>
        <w:t>,</w:t>
      </w:r>
      <w:r w:rsidR="007E51ED">
        <w:rPr>
          <w:rFonts w:ascii="Arial" w:hAnsi="Arial" w:cs="Arial"/>
          <w:noProof/>
          <w:sz w:val="24"/>
          <w:szCs w:val="24"/>
        </w:rPr>
        <w:t xml:space="preserve"> diselenggarakan oleh </w:t>
      </w:r>
      <w:r w:rsidR="007E51ED" w:rsidRPr="00173DF0">
        <w:rPr>
          <w:rFonts w:ascii="Arial" w:hAnsi="Arial" w:cs="Arial"/>
          <w:b/>
          <w:bCs/>
          <w:noProof/>
          <w:sz w:val="24"/>
          <w:szCs w:val="24"/>
        </w:rPr>
        <w:t>Tergugat</w:t>
      </w:r>
      <w:r w:rsidR="007E51ED">
        <w:rPr>
          <w:rFonts w:ascii="Arial" w:hAnsi="Arial" w:cs="Arial"/>
          <w:noProof/>
          <w:sz w:val="24"/>
          <w:szCs w:val="24"/>
        </w:rPr>
        <w:t xml:space="preserve"> secara tidak transparan, membiarkan terjadinya monopoli atau persaingan tidak sehat, hingga meloloskan </w:t>
      </w:r>
      <w:r w:rsidR="00173DF0">
        <w:rPr>
          <w:rFonts w:ascii="Arial" w:hAnsi="Arial" w:cs="Arial"/>
          <w:noProof/>
          <w:sz w:val="24"/>
          <w:szCs w:val="24"/>
        </w:rPr>
        <w:t xml:space="preserve">surat dukungan </w:t>
      </w:r>
      <w:r w:rsidR="00173DF0" w:rsidRPr="00173DF0">
        <w:rPr>
          <w:rFonts w:ascii="Arial" w:hAnsi="Arial" w:cs="Arial"/>
          <w:b/>
          <w:bCs/>
          <w:noProof/>
          <w:sz w:val="24"/>
          <w:szCs w:val="24"/>
        </w:rPr>
        <w:t>Turut Tergugat I</w:t>
      </w:r>
      <w:r w:rsidR="00173DF0">
        <w:rPr>
          <w:rFonts w:ascii="Arial" w:hAnsi="Arial" w:cs="Arial"/>
          <w:noProof/>
          <w:sz w:val="24"/>
          <w:szCs w:val="24"/>
        </w:rPr>
        <w:t xml:space="preserve"> sebagai pemenang tender</w:t>
      </w:r>
      <w:r w:rsidR="00173DF0">
        <w:rPr>
          <w:rFonts w:ascii="Arial" w:hAnsi="Arial" w:cs="Arial"/>
          <w:noProof/>
          <w:sz w:val="24"/>
          <w:szCs w:val="24"/>
        </w:rPr>
        <w:t xml:space="preserve"> yang tidak diyakinkan dahulu keabsahannya oleh Tergugat karena terdapat tanda tangan yang berbeda dari orang  yang sama yang mengatas namakan dari Perusahaan Pabrik Pupuk Pendukung, yaitu </w:t>
      </w:r>
      <w:r w:rsidR="00173DF0" w:rsidRPr="00173DF0">
        <w:rPr>
          <w:rFonts w:ascii="Arial" w:hAnsi="Arial" w:cs="Arial"/>
          <w:b/>
          <w:bCs/>
          <w:noProof/>
          <w:sz w:val="24"/>
          <w:szCs w:val="24"/>
        </w:rPr>
        <w:t>Turut Tergugat II</w:t>
      </w:r>
      <w:r w:rsidR="00173DF0">
        <w:rPr>
          <w:rFonts w:ascii="Arial" w:hAnsi="Arial" w:cs="Arial"/>
          <w:noProof/>
          <w:sz w:val="24"/>
          <w:szCs w:val="24"/>
        </w:rPr>
        <w:t>.</w:t>
      </w:r>
    </w:p>
    <w:p w14:paraId="5AC6B8BF" w14:textId="0911F1F6" w:rsidR="00173DF0" w:rsidRDefault="00B870B5" w:rsidP="00433D1C">
      <w:pPr>
        <w:jc w:val="both"/>
        <w:rPr>
          <w:rFonts w:ascii="Arial" w:hAnsi="Arial" w:cs="Arial"/>
          <w:noProof/>
          <w:sz w:val="24"/>
          <w:szCs w:val="24"/>
        </w:rPr>
      </w:pPr>
      <w:r>
        <w:rPr>
          <w:rFonts w:ascii="Arial" w:hAnsi="Arial" w:cs="Arial"/>
          <w:noProof/>
          <w:sz w:val="24"/>
          <w:szCs w:val="24"/>
        </w:rPr>
        <w:t>Gugatan ini diajukan eksepsi oleh Tergugat, Turut Tergugat I, dan Turut Tergugat II terkait kewenangan mengadili (Kompetensi Absolut) dengan menyatakan bahwa perkara ini adalah wilayah hukum administrasi negara yang harusnya diajukan melalui Pengadilan Tata Usaha Negara.</w:t>
      </w:r>
    </w:p>
    <w:p w14:paraId="0788971E" w14:textId="77777777" w:rsidR="007E345C" w:rsidRDefault="00B50AB8" w:rsidP="00433D1C">
      <w:pPr>
        <w:jc w:val="both"/>
        <w:rPr>
          <w:rFonts w:ascii="Arial" w:hAnsi="Arial" w:cs="Arial"/>
          <w:noProof/>
          <w:sz w:val="24"/>
          <w:szCs w:val="24"/>
        </w:rPr>
      </w:pPr>
      <w:r>
        <w:rPr>
          <w:rFonts w:ascii="Arial" w:hAnsi="Arial" w:cs="Arial"/>
          <w:noProof/>
          <w:sz w:val="24"/>
          <w:szCs w:val="24"/>
        </w:rPr>
        <w:t>Majelis Hakim PN Temanggung yang memeriksa dan mengadili perkara</w:t>
      </w:r>
      <w:r w:rsidR="007E345C">
        <w:rPr>
          <w:rFonts w:ascii="Arial" w:hAnsi="Arial" w:cs="Arial"/>
          <w:noProof/>
          <w:sz w:val="24"/>
          <w:szCs w:val="24"/>
        </w:rPr>
        <w:t xml:space="preserve"> memberikan pertimbangan hukum dengan menilai alasan gugatan Penggugat termasuk dalam kaetrgori sengketa Tata Usaha Negara sebagaimana dimaksud dalam Pasal 1 angka 10 UU No. 51 Tahun 2009 atau disebut sebagai sengketa tindakan Pemerintah sebagaimana dimaksud dalam Pasal 1 angka 3 PERMA No. 2 Tahun 2019.</w:t>
      </w:r>
    </w:p>
    <w:p w14:paraId="02DFACAC" w14:textId="47B37187" w:rsidR="00B870B5" w:rsidRPr="007F3343" w:rsidRDefault="007E345C" w:rsidP="00433D1C">
      <w:pPr>
        <w:jc w:val="both"/>
        <w:rPr>
          <w:rFonts w:ascii="Arial" w:hAnsi="Arial" w:cs="Arial"/>
          <w:noProof/>
          <w:sz w:val="24"/>
          <w:szCs w:val="24"/>
        </w:rPr>
      </w:pPr>
      <w:r>
        <w:rPr>
          <w:rFonts w:ascii="Arial" w:hAnsi="Arial" w:cs="Arial"/>
          <w:noProof/>
          <w:sz w:val="24"/>
          <w:szCs w:val="24"/>
        </w:rPr>
        <w:t>Oleh sebab itu, Majelis menimbang bahwa gugatan yang didalilkan Penggugat merupakan perkara perbuatan melanggar hukum oleh Badan dan/atau Pejabat Pemerintah (</w:t>
      </w:r>
      <w:r>
        <w:rPr>
          <w:rFonts w:ascii="Arial" w:hAnsi="Arial" w:cs="Arial"/>
          <w:i/>
          <w:iCs/>
          <w:noProof/>
          <w:sz w:val="24"/>
          <w:szCs w:val="24"/>
        </w:rPr>
        <w:t>Onrechtmatige Over</w:t>
      </w:r>
      <w:r w:rsidR="007F3343">
        <w:rPr>
          <w:rFonts w:ascii="Arial" w:hAnsi="Arial" w:cs="Arial"/>
          <w:i/>
          <w:iCs/>
          <w:noProof/>
          <w:sz w:val="24"/>
          <w:szCs w:val="24"/>
        </w:rPr>
        <w:t>heidsdaad</w:t>
      </w:r>
      <w:r w:rsidR="007F3343">
        <w:rPr>
          <w:rFonts w:ascii="Arial" w:hAnsi="Arial" w:cs="Arial"/>
          <w:noProof/>
          <w:sz w:val="24"/>
          <w:szCs w:val="24"/>
        </w:rPr>
        <w:t>) sehingga dalam putusannya Majelis mengabulkan eksepsi Tergugat dan Para Turut Tergugat serta menyatakan Pengadilan Negeri tidak berwenang mengadili perkara. Putusan ini dikuatkan pada tingkat banding di PT Semarang dan pada tingkat kasasi di Mahkamah Agung.</w:t>
      </w:r>
    </w:p>
    <w:p w14:paraId="3177A799" w14:textId="53FB260A" w:rsidR="00173DF0" w:rsidRPr="004D0FA8" w:rsidRDefault="00173DF0" w:rsidP="00433D1C">
      <w:pPr>
        <w:jc w:val="both"/>
        <w:rPr>
          <w:rFonts w:ascii="Arial" w:hAnsi="Arial" w:cs="Arial"/>
          <w:noProof/>
          <w:sz w:val="24"/>
          <w:szCs w:val="24"/>
        </w:rPr>
      </w:pPr>
    </w:p>
    <w:p w14:paraId="3AD1BF77" w14:textId="1D2E0536" w:rsidR="004D0FA8" w:rsidRDefault="004D0FA8" w:rsidP="004D0FA8">
      <w:pPr>
        <w:jc w:val="both"/>
        <w:rPr>
          <w:rFonts w:ascii="Arial" w:hAnsi="Arial" w:cs="Arial"/>
          <w:noProof/>
          <w:sz w:val="24"/>
          <w:szCs w:val="24"/>
        </w:rPr>
      </w:pPr>
      <w:r>
        <w:rPr>
          <w:rFonts w:ascii="Arial" w:hAnsi="Arial" w:cs="Arial"/>
          <w:noProof/>
          <w:sz w:val="24"/>
          <w:szCs w:val="24"/>
        </w:rPr>
        <w:t>→ Putusan Mahkamah Agung Nomor</w:t>
      </w:r>
      <w:r>
        <w:rPr>
          <w:rFonts w:ascii="Arial" w:hAnsi="Arial" w:cs="Arial"/>
          <w:noProof/>
          <w:sz w:val="24"/>
          <w:szCs w:val="24"/>
        </w:rPr>
        <w:t xml:space="preserve"> 4986 K/PDT/2022</w:t>
      </w:r>
      <w:r>
        <w:rPr>
          <w:rFonts w:ascii="Arial" w:hAnsi="Arial" w:cs="Arial"/>
          <w:noProof/>
          <w:sz w:val="24"/>
          <w:szCs w:val="24"/>
        </w:rPr>
        <w:t xml:space="preserve">, Tanggal </w:t>
      </w:r>
      <w:r>
        <w:rPr>
          <w:rFonts w:ascii="Arial" w:hAnsi="Arial" w:cs="Arial"/>
          <w:noProof/>
          <w:sz w:val="24"/>
          <w:szCs w:val="24"/>
        </w:rPr>
        <w:t>30 Desember 2022</w:t>
      </w:r>
    </w:p>
    <w:p w14:paraId="1BAB0EA0" w14:textId="07E32FA0" w:rsidR="004D0FA8" w:rsidRPr="00151CCB" w:rsidRDefault="004D0FA8" w:rsidP="004D0FA8">
      <w:pPr>
        <w:jc w:val="both"/>
        <w:rPr>
          <w:rFonts w:ascii="Arial" w:hAnsi="Arial" w:cs="Arial"/>
          <w:sz w:val="24"/>
          <w:szCs w:val="24"/>
        </w:rPr>
      </w:pPr>
      <w:r w:rsidRPr="00151CCB">
        <w:rPr>
          <w:rFonts w:ascii="Arial" w:hAnsi="Arial" w:cs="Arial"/>
          <w:noProof/>
          <w:sz w:val="24"/>
          <w:szCs w:val="24"/>
        </w:rPr>
        <w:t xml:space="preserve">Sumber: </w:t>
      </w:r>
      <w:hyperlink r:id="rId4" w:history="1">
        <w:r w:rsidRPr="003D3915">
          <w:rPr>
            <w:rStyle w:val="Hyperlink"/>
            <w:rFonts w:ascii="Arial" w:hAnsi="Arial" w:cs="Arial"/>
            <w:noProof/>
            <w:sz w:val="24"/>
            <w:szCs w:val="24"/>
          </w:rPr>
          <w:t>https://putusan3.mahkamahagung.go.id/direktori/putusan/zaee989b3951bb5ebf7d313030343534.html</w:t>
        </w:r>
      </w:hyperlink>
      <w:r>
        <w:rPr>
          <w:rFonts w:ascii="Arial" w:hAnsi="Arial" w:cs="Arial"/>
          <w:noProof/>
          <w:sz w:val="24"/>
          <w:szCs w:val="24"/>
        </w:rPr>
        <w:t xml:space="preserve"> </w:t>
      </w:r>
    </w:p>
    <w:p w14:paraId="0C5CD42A" w14:textId="77777777" w:rsidR="004D0FA8" w:rsidRPr="00251753" w:rsidRDefault="004D0FA8" w:rsidP="004D0FA8">
      <w:pPr>
        <w:jc w:val="both"/>
      </w:pPr>
    </w:p>
    <w:p w14:paraId="60440009" w14:textId="77777777" w:rsidR="004D0FA8" w:rsidRDefault="004D0FA8" w:rsidP="004D0FA8">
      <w:pPr>
        <w:spacing w:after="0"/>
        <w:jc w:val="both"/>
        <w:rPr>
          <w:rFonts w:ascii="Arial" w:hAnsi="Arial" w:cs="Arial"/>
          <w:noProof/>
          <w:sz w:val="24"/>
          <w:szCs w:val="24"/>
        </w:rPr>
      </w:pPr>
      <w:r>
        <w:rPr>
          <w:rFonts w:ascii="Arial" w:hAnsi="Arial" w:cs="Arial"/>
          <w:noProof/>
          <w:sz w:val="24"/>
          <w:szCs w:val="24"/>
        </w:rPr>
        <w:t>Salam Pengadaan,</w:t>
      </w:r>
    </w:p>
    <w:p w14:paraId="6796F86E" w14:textId="6CA225E3" w:rsidR="007C6969" w:rsidRDefault="004D0FA8" w:rsidP="007F3343">
      <w:pPr>
        <w:spacing w:after="0"/>
        <w:jc w:val="both"/>
      </w:pPr>
      <w:r>
        <w:rPr>
          <w:rFonts w:ascii="Arial" w:hAnsi="Arial" w:cs="Arial"/>
          <w:noProof/>
          <w:sz w:val="24"/>
          <w:szCs w:val="24"/>
        </w:rPr>
        <w:t>LBH Pengadaan Publik Indonesia</w:t>
      </w:r>
      <w:r w:rsidR="007F3343">
        <w:rPr>
          <w:rFonts w:ascii="Arial" w:hAnsi="Arial" w:cs="Arial"/>
          <w:noProof/>
          <w:sz w:val="24"/>
          <w:szCs w:val="24"/>
        </w:rPr>
        <w:t xml:space="preserve"> </w:t>
      </w:r>
    </w:p>
    <w:sectPr w:rsidR="007C696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0FA8"/>
    <w:rsid w:val="00173DF0"/>
    <w:rsid w:val="0019157B"/>
    <w:rsid w:val="00422ADC"/>
    <w:rsid w:val="00433D1C"/>
    <w:rsid w:val="004D0FA8"/>
    <w:rsid w:val="005D0650"/>
    <w:rsid w:val="006E0955"/>
    <w:rsid w:val="00774777"/>
    <w:rsid w:val="00776034"/>
    <w:rsid w:val="007C6969"/>
    <w:rsid w:val="007E345C"/>
    <w:rsid w:val="007E51ED"/>
    <w:rsid w:val="007F3343"/>
    <w:rsid w:val="0090401F"/>
    <w:rsid w:val="00A860E0"/>
    <w:rsid w:val="00B02A91"/>
    <w:rsid w:val="00B50AB8"/>
    <w:rsid w:val="00B870B5"/>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80AB77"/>
  <w15:chartTrackingRefBased/>
  <w15:docId w15:val="{473E843F-B15C-46DB-A8BB-1B0AFEE041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0FA8"/>
  </w:style>
  <w:style w:type="paragraph" w:styleId="Heading1">
    <w:name w:val="heading 1"/>
    <w:basedOn w:val="Normal"/>
    <w:next w:val="Normal"/>
    <w:link w:val="Heading1Char"/>
    <w:uiPriority w:val="9"/>
    <w:qFormat/>
    <w:rsid w:val="004D0FA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D0FA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D0FA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D0FA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D0FA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D0FA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D0FA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D0FA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D0FA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0FA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D0FA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D0FA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D0FA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D0FA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D0FA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D0FA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D0FA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D0FA8"/>
    <w:rPr>
      <w:rFonts w:eastAsiaTheme="majorEastAsia" w:cstheme="majorBidi"/>
      <w:color w:val="272727" w:themeColor="text1" w:themeTint="D8"/>
    </w:rPr>
  </w:style>
  <w:style w:type="paragraph" w:styleId="Title">
    <w:name w:val="Title"/>
    <w:basedOn w:val="Normal"/>
    <w:next w:val="Normal"/>
    <w:link w:val="TitleChar"/>
    <w:uiPriority w:val="10"/>
    <w:qFormat/>
    <w:rsid w:val="004D0F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D0F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D0FA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D0FA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D0FA8"/>
    <w:pPr>
      <w:spacing w:before="160"/>
      <w:jc w:val="center"/>
    </w:pPr>
    <w:rPr>
      <w:i/>
      <w:iCs/>
      <w:color w:val="404040" w:themeColor="text1" w:themeTint="BF"/>
    </w:rPr>
  </w:style>
  <w:style w:type="character" w:customStyle="1" w:styleId="QuoteChar">
    <w:name w:val="Quote Char"/>
    <w:basedOn w:val="DefaultParagraphFont"/>
    <w:link w:val="Quote"/>
    <w:uiPriority w:val="29"/>
    <w:rsid w:val="004D0FA8"/>
    <w:rPr>
      <w:i/>
      <w:iCs/>
      <w:color w:val="404040" w:themeColor="text1" w:themeTint="BF"/>
    </w:rPr>
  </w:style>
  <w:style w:type="paragraph" w:styleId="ListParagraph">
    <w:name w:val="List Paragraph"/>
    <w:basedOn w:val="Normal"/>
    <w:uiPriority w:val="34"/>
    <w:qFormat/>
    <w:rsid w:val="004D0FA8"/>
    <w:pPr>
      <w:ind w:left="720"/>
      <w:contextualSpacing/>
    </w:pPr>
  </w:style>
  <w:style w:type="character" w:styleId="IntenseEmphasis">
    <w:name w:val="Intense Emphasis"/>
    <w:basedOn w:val="DefaultParagraphFont"/>
    <w:uiPriority w:val="21"/>
    <w:qFormat/>
    <w:rsid w:val="004D0FA8"/>
    <w:rPr>
      <w:i/>
      <w:iCs/>
      <w:color w:val="2F5496" w:themeColor="accent1" w:themeShade="BF"/>
    </w:rPr>
  </w:style>
  <w:style w:type="paragraph" w:styleId="IntenseQuote">
    <w:name w:val="Intense Quote"/>
    <w:basedOn w:val="Normal"/>
    <w:next w:val="Normal"/>
    <w:link w:val="IntenseQuoteChar"/>
    <w:uiPriority w:val="30"/>
    <w:qFormat/>
    <w:rsid w:val="004D0FA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D0FA8"/>
    <w:rPr>
      <w:i/>
      <w:iCs/>
      <w:color w:val="2F5496" w:themeColor="accent1" w:themeShade="BF"/>
    </w:rPr>
  </w:style>
  <w:style w:type="character" w:styleId="IntenseReference">
    <w:name w:val="Intense Reference"/>
    <w:basedOn w:val="DefaultParagraphFont"/>
    <w:uiPriority w:val="32"/>
    <w:qFormat/>
    <w:rsid w:val="004D0FA8"/>
    <w:rPr>
      <w:b/>
      <w:bCs/>
      <w:smallCaps/>
      <w:color w:val="2F5496" w:themeColor="accent1" w:themeShade="BF"/>
      <w:spacing w:val="5"/>
    </w:rPr>
  </w:style>
  <w:style w:type="character" w:styleId="Hyperlink">
    <w:name w:val="Hyperlink"/>
    <w:basedOn w:val="DefaultParagraphFont"/>
    <w:uiPriority w:val="99"/>
    <w:unhideWhenUsed/>
    <w:rsid w:val="004D0FA8"/>
    <w:rPr>
      <w:color w:val="0563C1" w:themeColor="hyperlink"/>
      <w:u w:val="single"/>
    </w:rPr>
  </w:style>
  <w:style w:type="character" w:styleId="UnresolvedMention">
    <w:name w:val="Unresolved Mention"/>
    <w:basedOn w:val="DefaultParagraphFont"/>
    <w:uiPriority w:val="99"/>
    <w:semiHidden/>
    <w:unhideWhenUsed/>
    <w:rsid w:val="004D0F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putusan3.mahkamahagung.go.id/direktori/putusan/zaee989b3951bb5ebf7d313030343534.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188</TotalTime>
  <Pages>1</Pages>
  <Words>381</Words>
  <Characters>2172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HP5CD4236WS6@outlook.com</dc:creator>
  <cp:keywords/>
  <dc:description/>
  <cp:lastModifiedBy>HP5CD4236WS6@outlook.com</cp:lastModifiedBy>
  <cp:revision>4</cp:revision>
  <dcterms:created xsi:type="dcterms:W3CDTF">2025-12-05T03:16:00Z</dcterms:created>
  <dcterms:modified xsi:type="dcterms:W3CDTF">2025-12-05T06:24:00Z</dcterms:modified>
</cp:coreProperties>
</file>