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A6981" w14:textId="77777777" w:rsidR="00343432" w:rsidRDefault="00343432" w:rsidP="00343432">
      <w:pPr>
        <w:spacing w:after="0"/>
        <w:jc w:val="both"/>
        <w:rPr>
          <w:rFonts w:ascii="Arial" w:hAnsi="Arial" w:cs="Arial"/>
          <w:noProof/>
          <w:sz w:val="24"/>
          <w:szCs w:val="24"/>
        </w:rPr>
      </w:pPr>
      <w:bookmarkStart w:id="0" w:name="_Hlk207799291"/>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4F8E49A9" w14:textId="7BBDEA59" w:rsidR="00343432" w:rsidRDefault="00E95A61" w:rsidP="00343432">
      <w:pPr>
        <w:jc w:val="both"/>
        <w:rPr>
          <w:rFonts w:ascii="Arial" w:hAnsi="Arial" w:cs="Arial"/>
          <w:b/>
          <w:bCs/>
          <w:noProof/>
          <w:sz w:val="24"/>
          <w:szCs w:val="24"/>
        </w:rPr>
      </w:pPr>
      <w:r>
        <w:rPr>
          <w:rFonts w:ascii="Arial" w:hAnsi="Arial" w:cs="Arial"/>
          <w:b/>
          <w:bCs/>
          <w:noProof/>
          <w:sz w:val="24"/>
          <w:szCs w:val="24"/>
        </w:rPr>
        <w:t>Kamis</w:t>
      </w:r>
      <w:r w:rsidR="00343432">
        <w:rPr>
          <w:rFonts w:ascii="Arial" w:hAnsi="Arial" w:cs="Arial"/>
          <w:b/>
          <w:bCs/>
          <w:noProof/>
          <w:sz w:val="24"/>
          <w:szCs w:val="24"/>
        </w:rPr>
        <w:t xml:space="preserve">, </w:t>
      </w:r>
      <w:r>
        <w:rPr>
          <w:rFonts w:ascii="Arial" w:hAnsi="Arial" w:cs="Arial"/>
          <w:b/>
          <w:bCs/>
          <w:noProof/>
          <w:sz w:val="24"/>
          <w:szCs w:val="24"/>
        </w:rPr>
        <w:t>4</w:t>
      </w:r>
      <w:r w:rsidR="00343432">
        <w:rPr>
          <w:rFonts w:ascii="Arial" w:hAnsi="Arial" w:cs="Arial"/>
          <w:b/>
          <w:bCs/>
          <w:noProof/>
          <w:sz w:val="24"/>
          <w:szCs w:val="24"/>
        </w:rPr>
        <w:t xml:space="preserve"> September 2025</w:t>
      </w:r>
    </w:p>
    <w:p w14:paraId="20ACC365" w14:textId="54C89188" w:rsidR="00343432" w:rsidRDefault="007155F5" w:rsidP="00343432">
      <w:pPr>
        <w:jc w:val="both"/>
        <w:rPr>
          <w:rFonts w:ascii="Arial" w:hAnsi="Arial" w:cs="Arial"/>
          <w:b/>
          <w:bCs/>
          <w:noProof/>
          <w:sz w:val="24"/>
          <w:szCs w:val="24"/>
        </w:rPr>
      </w:pPr>
      <w:r>
        <w:rPr>
          <w:rFonts w:ascii="Arial" w:hAnsi="Arial" w:cs="Arial"/>
          <w:b/>
          <w:bCs/>
          <w:noProof/>
          <w:sz w:val="24"/>
          <w:szCs w:val="24"/>
        </w:rPr>
        <w:t xml:space="preserve">PERBUATAN MELANGGAR HUKUM OLEH BADAN ATAU PEJABAT PEMERINTAHAN YANG TERKAIT DENGAN WANPRESTASI </w:t>
      </w:r>
      <w:r w:rsidR="00B23824">
        <w:rPr>
          <w:rFonts w:ascii="Arial" w:hAnsi="Arial" w:cs="Arial"/>
          <w:b/>
          <w:bCs/>
          <w:noProof/>
          <w:sz w:val="24"/>
          <w:szCs w:val="24"/>
        </w:rPr>
        <w:t>BUKANLAH KEWENANGAN ABSOLUT PERADILAN TUN</w:t>
      </w:r>
    </w:p>
    <w:p w14:paraId="324EFE41" w14:textId="4C407E88" w:rsidR="001A5EBB" w:rsidRDefault="00681371" w:rsidP="00681371">
      <w:pPr>
        <w:jc w:val="both"/>
        <w:rPr>
          <w:rFonts w:ascii="Arial" w:hAnsi="Arial" w:cs="Arial"/>
          <w:noProof/>
          <w:sz w:val="24"/>
          <w:szCs w:val="24"/>
        </w:rPr>
      </w:pPr>
      <w:r>
        <w:rPr>
          <w:rFonts w:ascii="Arial" w:hAnsi="Arial" w:cs="Arial"/>
          <w:noProof/>
          <w:sz w:val="24"/>
          <w:szCs w:val="24"/>
        </w:rPr>
        <w:t xml:space="preserve">Pejabat Pembuat Komitmen Dinas Perumahan dan Kawasan Permukiman Pemerintah Kabupaten Kutai Timur (Tergugat) telah menerbitkan keputusan perihal Pemutusan Kontrak </w:t>
      </w:r>
      <w:r w:rsidR="00884754">
        <w:rPr>
          <w:rFonts w:ascii="Arial" w:hAnsi="Arial" w:cs="Arial"/>
          <w:noProof/>
          <w:sz w:val="24"/>
          <w:szCs w:val="24"/>
        </w:rPr>
        <w:t xml:space="preserve">(Objek Sengketa) </w:t>
      </w:r>
      <w:r>
        <w:rPr>
          <w:rFonts w:ascii="Arial" w:hAnsi="Arial" w:cs="Arial"/>
          <w:noProof/>
          <w:sz w:val="24"/>
          <w:szCs w:val="24"/>
        </w:rPr>
        <w:t>dengan CV. Safarnah Jaya Utama (Penggugat) sebagai Penyedia pada Paket Pekerjaan Konstruksi Peningkatan Jalan/Drainase Dayung CS Sangatta Utara.</w:t>
      </w:r>
    </w:p>
    <w:p w14:paraId="1535A15B" w14:textId="5F3F039A" w:rsidR="00681371" w:rsidRDefault="009D3E8C" w:rsidP="00681371">
      <w:pPr>
        <w:jc w:val="both"/>
        <w:rPr>
          <w:rFonts w:ascii="Arial" w:hAnsi="Arial" w:cs="Arial"/>
          <w:noProof/>
          <w:sz w:val="24"/>
          <w:szCs w:val="24"/>
        </w:rPr>
      </w:pPr>
      <w:r>
        <w:rPr>
          <w:rFonts w:ascii="Arial" w:hAnsi="Arial" w:cs="Arial"/>
          <w:noProof/>
          <w:sz w:val="24"/>
          <w:szCs w:val="24"/>
        </w:rPr>
        <w:t xml:space="preserve">Permasalahan </w:t>
      </w:r>
      <w:r w:rsidR="00BC53C9">
        <w:rPr>
          <w:rFonts w:ascii="Arial" w:hAnsi="Arial" w:cs="Arial"/>
          <w:noProof/>
          <w:sz w:val="24"/>
          <w:szCs w:val="24"/>
        </w:rPr>
        <w:t xml:space="preserve">pada intinya </w:t>
      </w:r>
      <w:r>
        <w:rPr>
          <w:rFonts w:ascii="Arial" w:hAnsi="Arial" w:cs="Arial"/>
          <w:noProof/>
          <w:sz w:val="24"/>
          <w:szCs w:val="24"/>
        </w:rPr>
        <w:t xml:space="preserve">berawal dari keterlambatan Penggugat memulai pekerjaan </w:t>
      </w:r>
      <w:r w:rsidR="001A5EBB">
        <w:rPr>
          <w:rFonts w:ascii="Arial" w:hAnsi="Arial" w:cs="Arial"/>
          <w:noProof/>
          <w:sz w:val="24"/>
          <w:szCs w:val="24"/>
        </w:rPr>
        <w:t>sehingga progres</w:t>
      </w:r>
      <w:r w:rsidR="00884754">
        <w:rPr>
          <w:rFonts w:ascii="Arial" w:hAnsi="Arial" w:cs="Arial"/>
          <w:noProof/>
          <w:sz w:val="24"/>
          <w:szCs w:val="24"/>
        </w:rPr>
        <w:t xml:space="preserve">nya </w:t>
      </w:r>
      <w:r w:rsidR="001A5EBB">
        <w:rPr>
          <w:rFonts w:ascii="Arial" w:hAnsi="Arial" w:cs="Arial"/>
          <w:noProof/>
          <w:sz w:val="24"/>
          <w:szCs w:val="24"/>
        </w:rPr>
        <w:t xml:space="preserve">tidak mencapai 100% sesuai waktu pekerjaan di dalam Kontrak tertanggal 6 September 2019 yang kemudian </w:t>
      </w:r>
      <w:r w:rsidR="00320371">
        <w:rPr>
          <w:rFonts w:ascii="Arial" w:hAnsi="Arial" w:cs="Arial"/>
          <w:noProof/>
          <w:sz w:val="24"/>
          <w:szCs w:val="24"/>
        </w:rPr>
        <w:t>telah diperpanjang</w:t>
      </w:r>
      <w:r w:rsidR="001A5EBB">
        <w:rPr>
          <w:rFonts w:ascii="Arial" w:hAnsi="Arial" w:cs="Arial"/>
          <w:noProof/>
          <w:sz w:val="24"/>
          <w:szCs w:val="24"/>
        </w:rPr>
        <w:t xml:space="preserve"> sesuai </w:t>
      </w:r>
      <w:r w:rsidR="00BC53C9">
        <w:rPr>
          <w:rFonts w:ascii="Arial" w:hAnsi="Arial" w:cs="Arial"/>
          <w:noProof/>
          <w:sz w:val="24"/>
          <w:szCs w:val="24"/>
        </w:rPr>
        <w:t>A</w:t>
      </w:r>
      <w:r w:rsidR="001A5EBB">
        <w:rPr>
          <w:rFonts w:ascii="Arial" w:hAnsi="Arial" w:cs="Arial"/>
          <w:noProof/>
          <w:sz w:val="24"/>
          <w:szCs w:val="24"/>
        </w:rPr>
        <w:t xml:space="preserve">dendum tertanggal 10 Desember 2019, akan tetapi progres </w:t>
      </w:r>
      <w:r w:rsidR="00BC53C9">
        <w:rPr>
          <w:rFonts w:ascii="Arial" w:hAnsi="Arial" w:cs="Arial"/>
          <w:noProof/>
          <w:sz w:val="24"/>
          <w:szCs w:val="24"/>
        </w:rPr>
        <w:t>pekerjaan baru mencapai 9,2 %.</w:t>
      </w:r>
    </w:p>
    <w:p w14:paraId="2981CAF0" w14:textId="28403A8A" w:rsidR="00BC53C9" w:rsidRDefault="00BC53C9" w:rsidP="00681371">
      <w:pPr>
        <w:jc w:val="both"/>
        <w:rPr>
          <w:rFonts w:ascii="Arial" w:hAnsi="Arial" w:cs="Arial"/>
          <w:noProof/>
          <w:sz w:val="24"/>
          <w:szCs w:val="24"/>
        </w:rPr>
      </w:pPr>
      <w:r>
        <w:rPr>
          <w:rFonts w:ascii="Arial" w:hAnsi="Arial" w:cs="Arial"/>
          <w:noProof/>
          <w:sz w:val="24"/>
          <w:szCs w:val="24"/>
        </w:rPr>
        <w:t xml:space="preserve">Penggugat menyatakan </w:t>
      </w:r>
      <w:r w:rsidR="00884754">
        <w:rPr>
          <w:rFonts w:ascii="Arial" w:hAnsi="Arial" w:cs="Arial"/>
          <w:noProof/>
          <w:sz w:val="24"/>
          <w:szCs w:val="24"/>
        </w:rPr>
        <w:t xml:space="preserve">pada intinya </w:t>
      </w:r>
      <w:r>
        <w:rPr>
          <w:rFonts w:ascii="Arial" w:hAnsi="Arial" w:cs="Arial"/>
          <w:noProof/>
          <w:sz w:val="24"/>
          <w:szCs w:val="24"/>
        </w:rPr>
        <w:t>keterlambatan disebabkan oleh Tergugat yang baru mencairkan uang muka pada 9 Desember 2019 serta kendala cuaca musim penghujan yang men</w:t>
      </w:r>
      <w:r w:rsidR="00884754">
        <w:rPr>
          <w:rFonts w:ascii="Arial" w:hAnsi="Arial" w:cs="Arial"/>
          <w:noProof/>
          <w:sz w:val="24"/>
          <w:szCs w:val="24"/>
        </w:rPr>
        <w:t>g</w:t>
      </w:r>
      <w:r>
        <w:rPr>
          <w:rFonts w:ascii="Arial" w:hAnsi="Arial" w:cs="Arial"/>
          <w:noProof/>
          <w:sz w:val="24"/>
          <w:szCs w:val="24"/>
        </w:rPr>
        <w:t>hambat pelaksanaan proyek.</w:t>
      </w:r>
      <w:r w:rsidR="00884754">
        <w:rPr>
          <w:rFonts w:ascii="Arial" w:hAnsi="Arial" w:cs="Arial"/>
          <w:noProof/>
          <w:sz w:val="24"/>
          <w:szCs w:val="24"/>
        </w:rPr>
        <w:t xml:space="preserve"> </w:t>
      </w:r>
      <w:r w:rsidR="007155F5">
        <w:rPr>
          <w:rFonts w:ascii="Arial" w:hAnsi="Arial" w:cs="Arial"/>
          <w:noProof/>
          <w:sz w:val="24"/>
          <w:szCs w:val="24"/>
        </w:rPr>
        <w:t>Penggugat telah mengajukan keberatan sebagai Upaya Administratif kepada Tergugat dan atasan Tergugat</w:t>
      </w:r>
      <w:r w:rsidR="00320371">
        <w:rPr>
          <w:rFonts w:ascii="Arial" w:hAnsi="Arial" w:cs="Arial"/>
          <w:noProof/>
          <w:sz w:val="24"/>
          <w:szCs w:val="24"/>
        </w:rPr>
        <w:t xml:space="preserve">, tetapi </w:t>
      </w:r>
      <w:r w:rsidR="007155F5">
        <w:rPr>
          <w:rFonts w:ascii="Arial" w:hAnsi="Arial" w:cs="Arial"/>
          <w:noProof/>
          <w:sz w:val="24"/>
          <w:szCs w:val="24"/>
        </w:rPr>
        <w:t>tidak ditanggapi</w:t>
      </w:r>
      <w:r w:rsidR="00320371">
        <w:rPr>
          <w:rFonts w:ascii="Arial" w:hAnsi="Arial" w:cs="Arial"/>
          <w:noProof/>
          <w:sz w:val="24"/>
          <w:szCs w:val="24"/>
        </w:rPr>
        <w:t xml:space="preserve">. Penggugat </w:t>
      </w:r>
      <w:r w:rsidR="007155F5">
        <w:rPr>
          <w:rFonts w:ascii="Arial" w:hAnsi="Arial" w:cs="Arial"/>
          <w:noProof/>
          <w:sz w:val="24"/>
          <w:szCs w:val="24"/>
        </w:rPr>
        <w:t>akhirnya</w:t>
      </w:r>
      <w:r w:rsidR="00320371">
        <w:rPr>
          <w:rFonts w:ascii="Arial" w:hAnsi="Arial" w:cs="Arial"/>
          <w:noProof/>
          <w:sz w:val="24"/>
          <w:szCs w:val="24"/>
        </w:rPr>
        <w:t xml:space="preserve"> mengajukan gugatan Perbuatan Melanggar Hukum ke PTUN Samarinda terhadap Tergugat karena telah menerbitkan Objek Sengketa.</w:t>
      </w:r>
    </w:p>
    <w:p w14:paraId="4DF90C70" w14:textId="19E7809F" w:rsidR="00320371" w:rsidRDefault="00320371" w:rsidP="00681371">
      <w:pPr>
        <w:jc w:val="both"/>
        <w:rPr>
          <w:rFonts w:ascii="Arial" w:hAnsi="Arial" w:cs="Arial"/>
          <w:noProof/>
          <w:sz w:val="24"/>
          <w:szCs w:val="24"/>
        </w:rPr>
      </w:pPr>
      <w:r>
        <w:rPr>
          <w:rFonts w:ascii="Arial" w:hAnsi="Arial" w:cs="Arial"/>
          <w:noProof/>
          <w:sz w:val="24"/>
          <w:szCs w:val="24"/>
        </w:rPr>
        <w:t>Majelis Hakim PTUN Samarinda yang memeriksa perkara menimbang bahwa Pe</w:t>
      </w:r>
      <w:r w:rsidR="00532043">
        <w:rPr>
          <w:rFonts w:ascii="Arial" w:hAnsi="Arial" w:cs="Arial"/>
          <w:noProof/>
          <w:sz w:val="24"/>
          <w:szCs w:val="24"/>
        </w:rPr>
        <w:t>radilan</w:t>
      </w:r>
      <w:r>
        <w:rPr>
          <w:rFonts w:ascii="Arial" w:hAnsi="Arial" w:cs="Arial"/>
          <w:noProof/>
          <w:sz w:val="24"/>
          <w:szCs w:val="24"/>
        </w:rPr>
        <w:t xml:space="preserve"> </w:t>
      </w:r>
      <w:r w:rsidR="00532043">
        <w:rPr>
          <w:rFonts w:ascii="Arial" w:hAnsi="Arial" w:cs="Arial"/>
          <w:noProof/>
          <w:sz w:val="24"/>
          <w:szCs w:val="24"/>
        </w:rPr>
        <w:t>TUN</w:t>
      </w:r>
      <w:r>
        <w:rPr>
          <w:rFonts w:ascii="Arial" w:hAnsi="Arial" w:cs="Arial"/>
          <w:noProof/>
          <w:sz w:val="24"/>
          <w:szCs w:val="24"/>
        </w:rPr>
        <w:t xml:space="preserve"> memang berwenang menyeselesikan sengketa Perbuatan Melanggar Hukum oleh Badan</w:t>
      </w:r>
      <w:r w:rsidR="007155F5">
        <w:rPr>
          <w:rFonts w:ascii="Arial" w:hAnsi="Arial" w:cs="Arial"/>
          <w:noProof/>
          <w:sz w:val="24"/>
          <w:szCs w:val="24"/>
        </w:rPr>
        <w:t xml:space="preserve"> dan</w:t>
      </w:r>
      <w:r>
        <w:rPr>
          <w:rFonts w:ascii="Arial" w:hAnsi="Arial" w:cs="Arial"/>
          <w:noProof/>
          <w:sz w:val="24"/>
          <w:szCs w:val="24"/>
        </w:rPr>
        <w:t>/</w:t>
      </w:r>
      <w:r w:rsidR="007155F5">
        <w:rPr>
          <w:rFonts w:ascii="Arial" w:hAnsi="Arial" w:cs="Arial"/>
          <w:noProof/>
          <w:sz w:val="24"/>
          <w:szCs w:val="24"/>
        </w:rPr>
        <w:t xml:space="preserve">atau </w:t>
      </w:r>
      <w:r w:rsidR="00A620CF">
        <w:rPr>
          <w:rFonts w:ascii="Arial" w:hAnsi="Arial" w:cs="Arial"/>
          <w:noProof/>
          <w:sz w:val="24"/>
          <w:szCs w:val="24"/>
        </w:rPr>
        <w:t xml:space="preserve">Pejabat Pemerintahan sebagai akibat dilakukannya Tindakan Pemerintahan. Akan tetapi, Objek Sengketa merupakan </w:t>
      </w:r>
      <w:r w:rsidR="00532043">
        <w:rPr>
          <w:rFonts w:ascii="Arial" w:hAnsi="Arial" w:cs="Arial"/>
          <w:noProof/>
          <w:sz w:val="24"/>
          <w:szCs w:val="24"/>
        </w:rPr>
        <w:t>Keputusan TUN</w:t>
      </w:r>
      <w:r w:rsidR="00A620CF">
        <w:rPr>
          <w:rFonts w:ascii="Arial" w:hAnsi="Arial" w:cs="Arial"/>
          <w:noProof/>
          <w:sz w:val="24"/>
          <w:szCs w:val="24"/>
        </w:rPr>
        <w:t xml:space="preserve"> yang dikecualikan menurut Pasal 2 huruf a UU Peradilan Tata Usaha Negara</w:t>
      </w:r>
      <w:r w:rsidR="007155F5">
        <w:rPr>
          <w:rFonts w:ascii="Arial" w:hAnsi="Arial" w:cs="Arial"/>
          <w:noProof/>
          <w:sz w:val="24"/>
          <w:szCs w:val="24"/>
        </w:rPr>
        <w:t>. M</w:t>
      </w:r>
      <w:r w:rsidR="00EC6087">
        <w:rPr>
          <w:rFonts w:ascii="Arial" w:hAnsi="Arial" w:cs="Arial"/>
          <w:noProof/>
          <w:sz w:val="24"/>
          <w:szCs w:val="24"/>
        </w:rPr>
        <w:t>a</w:t>
      </w:r>
      <w:r w:rsidR="007155F5">
        <w:rPr>
          <w:rFonts w:ascii="Arial" w:hAnsi="Arial" w:cs="Arial"/>
          <w:noProof/>
          <w:sz w:val="24"/>
          <w:szCs w:val="24"/>
        </w:rPr>
        <w:t>jelis lalu memutus gugatan Penggugat</w:t>
      </w:r>
      <w:r w:rsidR="00A620CF">
        <w:rPr>
          <w:rFonts w:ascii="Arial" w:hAnsi="Arial" w:cs="Arial"/>
          <w:noProof/>
          <w:sz w:val="24"/>
          <w:szCs w:val="24"/>
        </w:rPr>
        <w:t xml:space="preserve"> tidak </w:t>
      </w:r>
      <w:r w:rsidR="00EC6087">
        <w:rPr>
          <w:rFonts w:ascii="Arial" w:hAnsi="Arial" w:cs="Arial"/>
          <w:noProof/>
          <w:sz w:val="24"/>
          <w:szCs w:val="24"/>
        </w:rPr>
        <w:t xml:space="preserve">dapat </w:t>
      </w:r>
      <w:r w:rsidR="00A620CF">
        <w:rPr>
          <w:rFonts w:ascii="Arial" w:hAnsi="Arial" w:cs="Arial"/>
          <w:noProof/>
          <w:sz w:val="24"/>
          <w:szCs w:val="24"/>
        </w:rPr>
        <w:t>diterima.</w:t>
      </w:r>
      <w:r w:rsidR="00532043">
        <w:rPr>
          <w:rFonts w:ascii="Arial" w:hAnsi="Arial" w:cs="Arial"/>
          <w:noProof/>
          <w:sz w:val="24"/>
          <w:szCs w:val="24"/>
        </w:rPr>
        <w:t xml:space="preserve"> Putusan ini dikuatkan pada tingkat banding.</w:t>
      </w:r>
    </w:p>
    <w:p w14:paraId="5F7BB42A" w14:textId="2E9D68D4" w:rsidR="00A620CF" w:rsidRDefault="00532043" w:rsidP="00681371">
      <w:pPr>
        <w:jc w:val="both"/>
        <w:rPr>
          <w:rFonts w:ascii="Arial" w:hAnsi="Arial" w:cs="Arial"/>
          <w:noProof/>
          <w:sz w:val="24"/>
          <w:szCs w:val="24"/>
        </w:rPr>
      </w:pPr>
      <w:r>
        <w:rPr>
          <w:rFonts w:ascii="Arial" w:hAnsi="Arial" w:cs="Arial"/>
          <w:noProof/>
          <w:sz w:val="24"/>
          <w:szCs w:val="24"/>
        </w:rPr>
        <w:t>Di tingkat kasasi, Majelis Hakim Agung menolak permohonan kasasi dari Penggugat dengan pertimbangan bahwa Judex Facti sudah benar dalam penerapan hukum karena perluasan kewenangan Peradilan Tata Usaha Negara mengadili sengketa Perbuatan Mela</w:t>
      </w:r>
      <w:r w:rsidR="007155F5">
        <w:rPr>
          <w:rFonts w:ascii="Arial" w:hAnsi="Arial" w:cs="Arial"/>
          <w:noProof/>
          <w:sz w:val="24"/>
          <w:szCs w:val="24"/>
        </w:rPr>
        <w:t>nggar</w:t>
      </w:r>
      <w:r>
        <w:rPr>
          <w:rFonts w:ascii="Arial" w:hAnsi="Arial" w:cs="Arial"/>
          <w:noProof/>
          <w:sz w:val="24"/>
          <w:szCs w:val="24"/>
        </w:rPr>
        <w:t xml:space="preserve"> Hukum ada batasnya, antara lain yang terkait dengan adanya tindakan ingkar janji (wanprestasi) </w:t>
      </w:r>
      <w:r w:rsidR="007155F5">
        <w:rPr>
          <w:rFonts w:ascii="Arial" w:hAnsi="Arial" w:cs="Arial"/>
          <w:noProof/>
          <w:sz w:val="24"/>
          <w:szCs w:val="24"/>
        </w:rPr>
        <w:t>karena</w:t>
      </w:r>
      <w:r>
        <w:rPr>
          <w:rFonts w:ascii="Arial" w:hAnsi="Arial" w:cs="Arial"/>
          <w:noProof/>
          <w:sz w:val="24"/>
          <w:szCs w:val="24"/>
        </w:rPr>
        <w:t xml:space="preserve"> merupakan kewenangan absolut hakim perdata.</w:t>
      </w:r>
    </w:p>
    <w:p w14:paraId="1A004472" w14:textId="77777777" w:rsidR="001A5EBB" w:rsidRDefault="001A5EBB" w:rsidP="00681371">
      <w:pPr>
        <w:jc w:val="both"/>
        <w:rPr>
          <w:rFonts w:ascii="Arial" w:hAnsi="Arial" w:cs="Arial"/>
          <w:noProof/>
          <w:sz w:val="24"/>
          <w:szCs w:val="24"/>
        </w:rPr>
      </w:pPr>
    </w:p>
    <w:p w14:paraId="3220FFB8" w14:textId="6F3A61DB" w:rsidR="00343432" w:rsidRDefault="00343432" w:rsidP="00343432">
      <w:pPr>
        <w:jc w:val="both"/>
        <w:rPr>
          <w:rFonts w:ascii="Arial" w:hAnsi="Arial" w:cs="Arial"/>
          <w:noProof/>
          <w:sz w:val="24"/>
          <w:szCs w:val="24"/>
        </w:rPr>
      </w:pPr>
      <w:r>
        <w:rPr>
          <w:rFonts w:ascii="Arial" w:hAnsi="Arial" w:cs="Arial"/>
          <w:noProof/>
          <w:sz w:val="24"/>
          <w:szCs w:val="24"/>
        </w:rPr>
        <w:t xml:space="preserve">→ Putusan Mahkamah Agung Nomor 308 K/TUN/2021, tanggal </w:t>
      </w:r>
      <w:r w:rsidR="005268A7">
        <w:rPr>
          <w:rFonts w:ascii="Arial" w:hAnsi="Arial" w:cs="Arial"/>
          <w:noProof/>
          <w:sz w:val="24"/>
          <w:szCs w:val="24"/>
        </w:rPr>
        <w:t>18 Agustus</w:t>
      </w:r>
      <w:r>
        <w:rPr>
          <w:rFonts w:ascii="Arial" w:hAnsi="Arial" w:cs="Arial"/>
          <w:noProof/>
          <w:sz w:val="24"/>
          <w:szCs w:val="24"/>
        </w:rPr>
        <w:t xml:space="preserve"> 2021</w:t>
      </w:r>
    </w:p>
    <w:p w14:paraId="36FF0BDD" w14:textId="3A0493E0" w:rsidR="00343432" w:rsidRDefault="00343432" w:rsidP="00343432">
      <w:pPr>
        <w:jc w:val="both"/>
      </w:pPr>
      <w:r>
        <w:rPr>
          <w:rFonts w:ascii="Arial" w:hAnsi="Arial" w:cs="Arial"/>
          <w:noProof/>
          <w:sz w:val="24"/>
          <w:szCs w:val="24"/>
        </w:rPr>
        <w:t xml:space="preserve">Sumber: </w:t>
      </w:r>
      <w:hyperlink r:id="rId5" w:history="1">
        <w:r w:rsidRPr="00F73D02">
          <w:rPr>
            <w:rStyle w:val="Hyperlink"/>
            <w:rFonts w:ascii="Arial" w:hAnsi="Arial" w:cs="Arial"/>
            <w:noProof/>
            <w:sz w:val="24"/>
            <w:szCs w:val="24"/>
          </w:rPr>
          <w:t>https://putusan3.mahkamahagung.go.id/direktori/putusan/zaec745576f4fe7ea0b4313634343535.html</w:t>
        </w:r>
      </w:hyperlink>
      <w:r>
        <w:rPr>
          <w:rFonts w:ascii="Arial" w:hAnsi="Arial" w:cs="Arial"/>
          <w:noProof/>
          <w:sz w:val="24"/>
          <w:szCs w:val="24"/>
        </w:rPr>
        <w:t xml:space="preserve"> </w:t>
      </w:r>
    </w:p>
    <w:p w14:paraId="7176E4D7" w14:textId="77777777" w:rsidR="00343432" w:rsidRDefault="00343432" w:rsidP="00343432">
      <w:pPr>
        <w:spacing w:after="0"/>
        <w:jc w:val="both"/>
        <w:rPr>
          <w:rFonts w:ascii="Arial" w:hAnsi="Arial" w:cs="Arial"/>
          <w:noProof/>
          <w:sz w:val="24"/>
          <w:szCs w:val="24"/>
        </w:rPr>
      </w:pPr>
      <w:r>
        <w:rPr>
          <w:rFonts w:ascii="Arial" w:hAnsi="Arial" w:cs="Arial"/>
          <w:noProof/>
          <w:sz w:val="24"/>
          <w:szCs w:val="24"/>
        </w:rPr>
        <w:t>Salam Pengadaan,</w:t>
      </w:r>
    </w:p>
    <w:p w14:paraId="7935F7D9" w14:textId="77777777" w:rsidR="00343432" w:rsidRDefault="00343432" w:rsidP="00343432">
      <w:pPr>
        <w:spacing w:after="0"/>
        <w:jc w:val="both"/>
        <w:rPr>
          <w:rFonts w:ascii="Arial" w:hAnsi="Arial" w:cs="Arial"/>
          <w:noProof/>
          <w:sz w:val="24"/>
          <w:szCs w:val="24"/>
        </w:rPr>
      </w:pPr>
      <w:r>
        <w:rPr>
          <w:rFonts w:ascii="Arial" w:hAnsi="Arial" w:cs="Arial"/>
          <w:noProof/>
          <w:sz w:val="24"/>
          <w:szCs w:val="24"/>
        </w:rPr>
        <w:lastRenderedPageBreak/>
        <w:t>LBH Pengadaan Publik Indonesia</w:t>
      </w:r>
    </w:p>
    <w:p w14:paraId="267247D4" w14:textId="77777777" w:rsidR="00343432" w:rsidRDefault="00343432" w:rsidP="00343432">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093A5D92" w14:textId="77777777" w:rsidR="00343432" w:rsidRPr="00CB22EB" w:rsidRDefault="00343432" w:rsidP="00343432">
      <w:pPr>
        <w:jc w:val="both"/>
        <w:rPr>
          <w:rFonts w:ascii="Arial" w:hAnsi="Arial" w:cs="Arial"/>
          <w:noProof/>
          <w:sz w:val="24"/>
          <w:szCs w:val="24"/>
        </w:rPr>
      </w:pPr>
    </w:p>
    <w:p w14:paraId="1F245D71" w14:textId="77777777" w:rsidR="00343432" w:rsidRDefault="00343432" w:rsidP="00343432"/>
    <w:bookmarkEnd w:id="0"/>
    <w:p w14:paraId="3C30DA54"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6C25C6"/>
    <w:multiLevelType w:val="hybridMultilevel"/>
    <w:tmpl w:val="D5F251E8"/>
    <w:lvl w:ilvl="0" w:tplc="80A6D020">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84963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432"/>
    <w:rsid w:val="000F7DA6"/>
    <w:rsid w:val="001A5EBB"/>
    <w:rsid w:val="00271953"/>
    <w:rsid w:val="002B0DCF"/>
    <w:rsid w:val="002F10ED"/>
    <w:rsid w:val="00320371"/>
    <w:rsid w:val="00343432"/>
    <w:rsid w:val="00422ADC"/>
    <w:rsid w:val="005268A7"/>
    <w:rsid w:val="00532043"/>
    <w:rsid w:val="00681371"/>
    <w:rsid w:val="007155F5"/>
    <w:rsid w:val="00776034"/>
    <w:rsid w:val="007C6969"/>
    <w:rsid w:val="00884754"/>
    <w:rsid w:val="009D3E8C"/>
    <w:rsid w:val="00A620CF"/>
    <w:rsid w:val="00B23824"/>
    <w:rsid w:val="00B249D7"/>
    <w:rsid w:val="00BC53C9"/>
    <w:rsid w:val="00BE400A"/>
    <w:rsid w:val="00D511A5"/>
    <w:rsid w:val="00E95A61"/>
    <w:rsid w:val="00EC608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C2232"/>
  <w15:chartTrackingRefBased/>
  <w15:docId w15:val="{AE8B5B1B-4059-4559-A61A-16E0CC362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432"/>
  </w:style>
  <w:style w:type="paragraph" w:styleId="Heading1">
    <w:name w:val="heading 1"/>
    <w:basedOn w:val="Normal"/>
    <w:next w:val="Normal"/>
    <w:link w:val="Heading1Char"/>
    <w:uiPriority w:val="9"/>
    <w:qFormat/>
    <w:rsid w:val="003434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34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34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34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34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34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4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4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4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4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34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34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34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34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34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4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4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432"/>
    <w:rPr>
      <w:rFonts w:eastAsiaTheme="majorEastAsia" w:cstheme="majorBidi"/>
      <w:color w:val="272727" w:themeColor="text1" w:themeTint="D8"/>
    </w:rPr>
  </w:style>
  <w:style w:type="paragraph" w:styleId="Title">
    <w:name w:val="Title"/>
    <w:basedOn w:val="Normal"/>
    <w:next w:val="Normal"/>
    <w:link w:val="TitleChar"/>
    <w:uiPriority w:val="10"/>
    <w:qFormat/>
    <w:rsid w:val="003434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4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4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4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432"/>
    <w:pPr>
      <w:spacing w:before="160"/>
      <w:jc w:val="center"/>
    </w:pPr>
    <w:rPr>
      <w:i/>
      <w:iCs/>
      <w:color w:val="404040" w:themeColor="text1" w:themeTint="BF"/>
    </w:rPr>
  </w:style>
  <w:style w:type="character" w:customStyle="1" w:styleId="QuoteChar">
    <w:name w:val="Quote Char"/>
    <w:basedOn w:val="DefaultParagraphFont"/>
    <w:link w:val="Quote"/>
    <w:uiPriority w:val="29"/>
    <w:rsid w:val="00343432"/>
    <w:rPr>
      <w:i/>
      <w:iCs/>
      <w:color w:val="404040" w:themeColor="text1" w:themeTint="BF"/>
    </w:rPr>
  </w:style>
  <w:style w:type="paragraph" w:styleId="ListParagraph">
    <w:name w:val="List Paragraph"/>
    <w:basedOn w:val="Normal"/>
    <w:uiPriority w:val="34"/>
    <w:qFormat/>
    <w:rsid w:val="00343432"/>
    <w:pPr>
      <w:ind w:left="720"/>
      <w:contextualSpacing/>
    </w:pPr>
  </w:style>
  <w:style w:type="character" w:styleId="IntenseEmphasis">
    <w:name w:val="Intense Emphasis"/>
    <w:basedOn w:val="DefaultParagraphFont"/>
    <w:uiPriority w:val="21"/>
    <w:qFormat/>
    <w:rsid w:val="00343432"/>
    <w:rPr>
      <w:i/>
      <w:iCs/>
      <w:color w:val="2F5496" w:themeColor="accent1" w:themeShade="BF"/>
    </w:rPr>
  </w:style>
  <w:style w:type="paragraph" w:styleId="IntenseQuote">
    <w:name w:val="Intense Quote"/>
    <w:basedOn w:val="Normal"/>
    <w:next w:val="Normal"/>
    <w:link w:val="IntenseQuoteChar"/>
    <w:uiPriority w:val="30"/>
    <w:qFormat/>
    <w:rsid w:val="003434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3432"/>
    <w:rPr>
      <w:i/>
      <w:iCs/>
      <w:color w:val="2F5496" w:themeColor="accent1" w:themeShade="BF"/>
    </w:rPr>
  </w:style>
  <w:style w:type="character" w:styleId="IntenseReference">
    <w:name w:val="Intense Reference"/>
    <w:basedOn w:val="DefaultParagraphFont"/>
    <w:uiPriority w:val="32"/>
    <w:qFormat/>
    <w:rsid w:val="00343432"/>
    <w:rPr>
      <w:b/>
      <w:bCs/>
      <w:smallCaps/>
      <w:color w:val="2F5496" w:themeColor="accent1" w:themeShade="BF"/>
      <w:spacing w:val="5"/>
    </w:rPr>
  </w:style>
  <w:style w:type="character" w:styleId="Hyperlink">
    <w:name w:val="Hyperlink"/>
    <w:basedOn w:val="DefaultParagraphFont"/>
    <w:uiPriority w:val="99"/>
    <w:unhideWhenUsed/>
    <w:rsid w:val="00343432"/>
    <w:rPr>
      <w:color w:val="0563C1" w:themeColor="hyperlink"/>
      <w:u w:val="single"/>
    </w:rPr>
  </w:style>
  <w:style w:type="character" w:styleId="UnresolvedMention">
    <w:name w:val="Unresolved Mention"/>
    <w:basedOn w:val="DefaultParagraphFont"/>
    <w:uiPriority w:val="99"/>
    <w:semiHidden/>
    <w:unhideWhenUsed/>
    <w:rsid w:val="00343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c745576f4fe7ea0b4313634343535.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2</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5</cp:revision>
  <dcterms:created xsi:type="dcterms:W3CDTF">2025-09-03T04:45:00Z</dcterms:created>
  <dcterms:modified xsi:type="dcterms:W3CDTF">2025-09-04T09:23:00Z</dcterms:modified>
</cp:coreProperties>
</file>