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B0150" w14:textId="77777777" w:rsidR="00147351" w:rsidRDefault="00147351" w:rsidP="00147351">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25BE1BDA" w14:textId="12BA8D7B" w:rsidR="00147351" w:rsidRDefault="00896143" w:rsidP="00147351">
      <w:pPr>
        <w:jc w:val="both"/>
        <w:rPr>
          <w:rFonts w:ascii="Arial" w:hAnsi="Arial" w:cs="Arial"/>
          <w:b/>
          <w:bCs/>
          <w:noProof/>
          <w:sz w:val="24"/>
          <w:szCs w:val="24"/>
        </w:rPr>
      </w:pPr>
      <w:r>
        <w:rPr>
          <w:rFonts w:ascii="Arial" w:hAnsi="Arial" w:cs="Arial"/>
          <w:b/>
          <w:bCs/>
          <w:noProof/>
          <w:sz w:val="24"/>
          <w:szCs w:val="24"/>
        </w:rPr>
        <w:t>Jumat</w:t>
      </w:r>
      <w:r w:rsidR="00147351">
        <w:rPr>
          <w:rFonts w:ascii="Arial" w:hAnsi="Arial" w:cs="Arial"/>
          <w:b/>
          <w:bCs/>
          <w:noProof/>
          <w:sz w:val="24"/>
          <w:szCs w:val="24"/>
        </w:rPr>
        <w:t xml:space="preserve">, </w:t>
      </w:r>
      <w:r>
        <w:rPr>
          <w:rFonts w:ascii="Arial" w:hAnsi="Arial" w:cs="Arial"/>
          <w:b/>
          <w:bCs/>
          <w:noProof/>
          <w:sz w:val="24"/>
          <w:szCs w:val="24"/>
        </w:rPr>
        <w:t>3</w:t>
      </w:r>
      <w:r w:rsidR="00147351">
        <w:rPr>
          <w:rFonts w:ascii="Arial" w:hAnsi="Arial" w:cs="Arial"/>
          <w:b/>
          <w:bCs/>
          <w:noProof/>
          <w:sz w:val="24"/>
          <w:szCs w:val="24"/>
        </w:rPr>
        <w:t xml:space="preserve"> Oktober 2025</w:t>
      </w:r>
    </w:p>
    <w:p w14:paraId="093F401B" w14:textId="02D54D71" w:rsidR="00147351" w:rsidRPr="0013032D" w:rsidRDefault="00217FB0" w:rsidP="00147351">
      <w:pPr>
        <w:jc w:val="both"/>
        <w:rPr>
          <w:rFonts w:ascii="Arial" w:hAnsi="Arial" w:cs="Arial"/>
          <w:b/>
          <w:bCs/>
          <w:noProof/>
          <w:sz w:val="24"/>
          <w:szCs w:val="24"/>
        </w:rPr>
      </w:pPr>
      <w:r>
        <w:rPr>
          <w:rFonts w:ascii="Arial" w:hAnsi="Arial" w:cs="Arial"/>
          <w:b/>
          <w:bCs/>
          <w:noProof/>
          <w:sz w:val="24"/>
          <w:szCs w:val="24"/>
        </w:rPr>
        <w:t>MAHKAMAH AGUNG MENIMBANG BAHWA KESAMAAN DOKUMEN PENAWARAN DALAM TENDER TELAH CUKUP MENUNJUKKAN ADANYA SEBUAH PERSEKONGKOLAN</w:t>
      </w:r>
    </w:p>
    <w:p w14:paraId="44CE87D6" w14:textId="4BE27EC1" w:rsidR="009F3F4D" w:rsidRDefault="00147351" w:rsidP="00147351">
      <w:pPr>
        <w:jc w:val="both"/>
        <w:rPr>
          <w:rFonts w:ascii="Arial" w:hAnsi="Arial" w:cs="Arial"/>
          <w:noProof/>
          <w:sz w:val="24"/>
          <w:szCs w:val="24"/>
        </w:rPr>
      </w:pPr>
      <w:r>
        <w:rPr>
          <w:rFonts w:ascii="Arial" w:hAnsi="Arial" w:cs="Arial"/>
          <w:noProof/>
          <w:sz w:val="24"/>
          <w:szCs w:val="24"/>
        </w:rPr>
        <w:t xml:space="preserve">Pada Desember 2018, </w:t>
      </w:r>
      <w:r w:rsidR="009F3F4D">
        <w:rPr>
          <w:rFonts w:ascii="Arial" w:hAnsi="Arial" w:cs="Arial"/>
          <w:noProof/>
          <w:sz w:val="24"/>
          <w:szCs w:val="24"/>
        </w:rPr>
        <w:t xml:space="preserve">Majelis </w:t>
      </w:r>
      <w:r>
        <w:rPr>
          <w:rFonts w:ascii="Arial" w:hAnsi="Arial" w:cs="Arial"/>
          <w:noProof/>
          <w:sz w:val="24"/>
          <w:szCs w:val="24"/>
        </w:rPr>
        <w:t>KPPU memutus Edy Wahudi</w:t>
      </w:r>
      <w:r w:rsidR="0053632F">
        <w:rPr>
          <w:rFonts w:ascii="Arial" w:hAnsi="Arial" w:cs="Arial"/>
          <w:noProof/>
          <w:sz w:val="24"/>
          <w:szCs w:val="24"/>
        </w:rPr>
        <w:t xml:space="preserve"> (Terlapor I)</w:t>
      </w:r>
      <w:r>
        <w:rPr>
          <w:rFonts w:ascii="Arial" w:hAnsi="Arial" w:cs="Arial"/>
          <w:noProof/>
          <w:sz w:val="24"/>
          <w:szCs w:val="24"/>
        </w:rPr>
        <w:t xml:space="preserve"> selaku PPK pada </w:t>
      </w:r>
      <w:r w:rsidR="0053632F">
        <w:rPr>
          <w:rFonts w:ascii="Arial" w:hAnsi="Arial" w:cs="Arial"/>
          <w:noProof/>
          <w:sz w:val="24"/>
          <w:szCs w:val="24"/>
        </w:rPr>
        <w:t xml:space="preserve">2 paket pekerjaan, yaitu </w:t>
      </w:r>
      <w:r w:rsidR="0053632F" w:rsidRPr="0053632F">
        <w:rPr>
          <w:rFonts w:ascii="Arial" w:hAnsi="Arial" w:cs="Arial"/>
          <w:b/>
          <w:bCs/>
          <w:noProof/>
          <w:sz w:val="24"/>
          <w:szCs w:val="24"/>
        </w:rPr>
        <w:t>P</w:t>
      </w:r>
      <w:r w:rsidRPr="0053632F">
        <w:rPr>
          <w:rFonts w:ascii="Arial" w:hAnsi="Arial" w:cs="Arial"/>
          <w:b/>
          <w:bCs/>
          <w:noProof/>
          <w:sz w:val="24"/>
          <w:szCs w:val="24"/>
        </w:rPr>
        <w:t>engadaan Pekerjaan Konstruksi Pembangunan Stadion Mandala Krida</w:t>
      </w:r>
      <w:r>
        <w:rPr>
          <w:rFonts w:ascii="Arial" w:hAnsi="Arial" w:cs="Arial"/>
          <w:noProof/>
          <w:sz w:val="24"/>
          <w:szCs w:val="24"/>
        </w:rPr>
        <w:t xml:space="preserve"> APBD T.A 2016 serta </w:t>
      </w:r>
      <w:r w:rsidRPr="0053632F">
        <w:rPr>
          <w:rFonts w:ascii="Arial" w:hAnsi="Arial" w:cs="Arial"/>
          <w:b/>
          <w:bCs/>
          <w:noProof/>
          <w:sz w:val="24"/>
          <w:szCs w:val="24"/>
        </w:rPr>
        <w:t>Pengadaan Pekerjaan Konstruksi Pembangunan Sarana Pemuda dan Olahraga</w:t>
      </w:r>
      <w:r>
        <w:rPr>
          <w:rFonts w:ascii="Arial" w:hAnsi="Arial" w:cs="Arial"/>
          <w:noProof/>
          <w:sz w:val="24"/>
          <w:szCs w:val="24"/>
        </w:rPr>
        <w:t xml:space="preserve"> </w:t>
      </w:r>
      <w:r w:rsidR="009F3F4D">
        <w:rPr>
          <w:rFonts w:ascii="Arial" w:hAnsi="Arial" w:cs="Arial"/>
          <w:noProof/>
          <w:sz w:val="24"/>
          <w:szCs w:val="24"/>
        </w:rPr>
        <w:t>APBD T.A 2017 pada Satker Dinas Pendidikan Pemuda dan Olahraga Pemda DI Yogyakarta</w:t>
      </w:r>
      <w:r w:rsidR="00535F47">
        <w:rPr>
          <w:rFonts w:ascii="Arial" w:hAnsi="Arial" w:cs="Arial"/>
          <w:noProof/>
          <w:sz w:val="24"/>
          <w:szCs w:val="24"/>
        </w:rPr>
        <w:t>,</w:t>
      </w:r>
      <w:r w:rsidR="009F3F4D">
        <w:rPr>
          <w:rFonts w:ascii="Arial" w:hAnsi="Arial" w:cs="Arial"/>
          <w:noProof/>
          <w:sz w:val="24"/>
          <w:szCs w:val="24"/>
        </w:rPr>
        <w:t xml:space="preserve"> telah melanggar Pasal 22 UU No. 5 Tahun 1999</w:t>
      </w:r>
      <w:r w:rsidR="00217FB0">
        <w:rPr>
          <w:rFonts w:ascii="Arial" w:hAnsi="Arial" w:cs="Arial"/>
          <w:noProof/>
          <w:sz w:val="24"/>
          <w:szCs w:val="24"/>
        </w:rPr>
        <w:t>.</w:t>
      </w:r>
    </w:p>
    <w:p w14:paraId="384BE52C" w14:textId="37FDB745" w:rsidR="00535F47" w:rsidRDefault="00535F47" w:rsidP="00217FB0">
      <w:pPr>
        <w:jc w:val="both"/>
        <w:rPr>
          <w:rFonts w:ascii="Arial" w:hAnsi="Arial" w:cs="Arial"/>
          <w:noProof/>
          <w:sz w:val="24"/>
          <w:szCs w:val="24"/>
        </w:rPr>
      </w:pPr>
      <w:r>
        <w:rPr>
          <w:rFonts w:ascii="Arial" w:hAnsi="Arial" w:cs="Arial"/>
          <w:noProof/>
          <w:sz w:val="24"/>
          <w:szCs w:val="24"/>
        </w:rPr>
        <w:t>Perbuatan</w:t>
      </w:r>
      <w:r w:rsidR="009F3F4D">
        <w:rPr>
          <w:rFonts w:ascii="Arial" w:hAnsi="Arial" w:cs="Arial"/>
          <w:noProof/>
          <w:sz w:val="24"/>
          <w:szCs w:val="24"/>
        </w:rPr>
        <w:t xml:space="preserve"> tersebut dilakukan juga oleh Pokja</w:t>
      </w:r>
      <w:r w:rsidR="0053632F">
        <w:rPr>
          <w:rFonts w:ascii="Arial" w:hAnsi="Arial" w:cs="Arial"/>
          <w:noProof/>
          <w:sz w:val="24"/>
          <w:szCs w:val="24"/>
        </w:rPr>
        <w:t xml:space="preserve"> (Terlapor II) </w:t>
      </w:r>
      <w:r w:rsidR="00BB5782">
        <w:rPr>
          <w:rFonts w:ascii="Arial" w:hAnsi="Arial" w:cs="Arial"/>
          <w:noProof/>
          <w:sz w:val="24"/>
          <w:szCs w:val="24"/>
        </w:rPr>
        <w:t xml:space="preserve">pada </w:t>
      </w:r>
      <w:r w:rsidR="0053632F">
        <w:rPr>
          <w:rFonts w:ascii="Arial" w:hAnsi="Arial" w:cs="Arial"/>
          <w:noProof/>
          <w:sz w:val="24"/>
          <w:szCs w:val="24"/>
        </w:rPr>
        <w:t xml:space="preserve">paket pekerjaan 1, Pokja (Terlapor III)  </w:t>
      </w:r>
      <w:r w:rsidR="00BB5782">
        <w:rPr>
          <w:rFonts w:ascii="Arial" w:hAnsi="Arial" w:cs="Arial"/>
          <w:noProof/>
          <w:sz w:val="24"/>
          <w:szCs w:val="24"/>
        </w:rPr>
        <w:t xml:space="preserve">pada </w:t>
      </w:r>
      <w:r w:rsidR="0053632F">
        <w:rPr>
          <w:rFonts w:ascii="Arial" w:hAnsi="Arial" w:cs="Arial"/>
          <w:noProof/>
          <w:sz w:val="24"/>
          <w:szCs w:val="24"/>
        </w:rPr>
        <w:t>paket pekerjaan 2, PT. Duta Mas Indah (Terlapor IV), PT. Kenanga Mulya (Terlapor V), PT. Lima Tujuh Tujuh (Terlapor VI), PT. Bimapatria Pradanaraya (Terlapor VII), PT. Permata Nirwana Nusantara (Terlapor VIII) dan PT. Eka Madra Sentosa (Terlapor IX).</w:t>
      </w:r>
    </w:p>
    <w:p w14:paraId="1E472B9A" w14:textId="1BC03F60" w:rsidR="00147351" w:rsidRDefault="0053632F" w:rsidP="00C526A3">
      <w:pPr>
        <w:jc w:val="both"/>
        <w:rPr>
          <w:rFonts w:ascii="Arial" w:hAnsi="Arial" w:cs="Arial"/>
          <w:noProof/>
          <w:sz w:val="24"/>
          <w:szCs w:val="24"/>
        </w:rPr>
      </w:pPr>
      <w:r>
        <w:rPr>
          <w:rFonts w:ascii="Arial" w:hAnsi="Arial" w:cs="Arial"/>
          <w:noProof/>
          <w:sz w:val="24"/>
          <w:szCs w:val="24"/>
        </w:rPr>
        <w:t xml:space="preserve">Terlapor IV </w:t>
      </w:r>
      <w:r w:rsidR="00535F47">
        <w:rPr>
          <w:rFonts w:ascii="Arial" w:hAnsi="Arial" w:cs="Arial"/>
          <w:noProof/>
          <w:sz w:val="24"/>
          <w:szCs w:val="24"/>
        </w:rPr>
        <w:t xml:space="preserve">dihukum </w:t>
      </w:r>
      <w:r>
        <w:rPr>
          <w:rFonts w:ascii="Arial" w:hAnsi="Arial" w:cs="Arial"/>
          <w:noProof/>
          <w:sz w:val="24"/>
          <w:szCs w:val="24"/>
        </w:rPr>
        <w:t>membayar denda Rp. 2.509.000.000, Terlapor V</w:t>
      </w:r>
      <w:r w:rsidR="00535F47">
        <w:rPr>
          <w:rFonts w:ascii="Arial" w:hAnsi="Arial" w:cs="Arial"/>
          <w:noProof/>
          <w:sz w:val="24"/>
          <w:szCs w:val="24"/>
        </w:rPr>
        <w:t xml:space="preserve">, </w:t>
      </w:r>
      <w:r w:rsidR="00C526A3">
        <w:rPr>
          <w:rFonts w:ascii="Arial" w:hAnsi="Arial" w:cs="Arial"/>
          <w:noProof/>
          <w:sz w:val="24"/>
          <w:szCs w:val="24"/>
        </w:rPr>
        <w:t xml:space="preserve">VI, IX </w:t>
      </w:r>
      <w:r w:rsidR="00704042">
        <w:rPr>
          <w:rFonts w:ascii="Arial" w:hAnsi="Arial" w:cs="Arial"/>
          <w:noProof/>
          <w:sz w:val="24"/>
          <w:szCs w:val="24"/>
        </w:rPr>
        <w:t xml:space="preserve">masing-masing </w:t>
      </w:r>
      <w:r w:rsidR="00A37E5C">
        <w:rPr>
          <w:rFonts w:ascii="Arial" w:hAnsi="Arial" w:cs="Arial"/>
          <w:noProof/>
          <w:sz w:val="24"/>
          <w:szCs w:val="24"/>
        </w:rPr>
        <w:t xml:space="preserve">Rp. 1.000.000.000, </w:t>
      </w:r>
      <w:r>
        <w:rPr>
          <w:rFonts w:ascii="Arial" w:hAnsi="Arial" w:cs="Arial"/>
          <w:noProof/>
          <w:sz w:val="24"/>
          <w:szCs w:val="24"/>
        </w:rPr>
        <w:t>Terlapor VI</w:t>
      </w:r>
      <w:r w:rsidR="00A37E5C">
        <w:rPr>
          <w:rFonts w:ascii="Arial" w:hAnsi="Arial" w:cs="Arial"/>
          <w:noProof/>
          <w:sz w:val="24"/>
          <w:szCs w:val="24"/>
        </w:rPr>
        <w:t xml:space="preserve">I Rp. 1.070.000.000, </w:t>
      </w:r>
      <w:r w:rsidR="00C526A3">
        <w:rPr>
          <w:rFonts w:ascii="Arial" w:hAnsi="Arial" w:cs="Arial"/>
          <w:noProof/>
          <w:sz w:val="24"/>
          <w:szCs w:val="24"/>
        </w:rPr>
        <w:t xml:space="preserve">dan </w:t>
      </w:r>
      <w:r w:rsidR="00A37E5C">
        <w:rPr>
          <w:rFonts w:ascii="Arial" w:hAnsi="Arial" w:cs="Arial"/>
          <w:noProof/>
          <w:sz w:val="24"/>
          <w:szCs w:val="24"/>
        </w:rPr>
        <w:t>Terlapor VIII Rp. 1.322.000.000</w:t>
      </w:r>
      <w:r w:rsidR="00C526A3">
        <w:rPr>
          <w:rFonts w:ascii="Arial" w:hAnsi="Arial" w:cs="Arial"/>
          <w:noProof/>
          <w:sz w:val="24"/>
          <w:szCs w:val="24"/>
        </w:rPr>
        <w:t xml:space="preserve">. </w:t>
      </w:r>
      <w:r w:rsidR="00A37E5C">
        <w:rPr>
          <w:rFonts w:ascii="Arial" w:hAnsi="Arial" w:cs="Arial"/>
          <w:noProof/>
          <w:sz w:val="24"/>
          <w:szCs w:val="24"/>
        </w:rPr>
        <w:t>Selain itu, Terlapor IV</w:t>
      </w:r>
      <w:r w:rsidR="00C526A3">
        <w:rPr>
          <w:rFonts w:ascii="Arial" w:hAnsi="Arial" w:cs="Arial"/>
          <w:noProof/>
          <w:sz w:val="24"/>
          <w:szCs w:val="24"/>
        </w:rPr>
        <w:t xml:space="preserve"> dan </w:t>
      </w:r>
      <w:r w:rsidR="00A37E5C">
        <w:rPr>
          <w:rFonts w:ascii="Arial" w:hAnsi="Arial" w:cs="Arial"/>
          <w:noProof/>
          <w:sz w:val="24"/>
          <w:szCs w:val="24"/>
        </w:rPr>
        <w:t xml:space="preserve">VIII </w:t>
      </w:r>
      <w:r w:rsidR="00217FB0">
        <w:rPr>
          <w:rFonts w:ascii="Arial" w:hAnsi="Arial" w:cs="Arial"/>
          <w:noProof/>
          <w:sz w:val="24"/>
          <w:szCs w:val="24"/>
        </w:rPr>
        <w:t xml:space="preserve">dilarang </w:t>
      </w:r>
      <w:r w:rsidR="00A37E5C">
        <w:rPr>
          <w:rFonts w:ascii="Arial" w:hAnsi="Arial" w:cs="Arial"/>
          <w:noProof/>
          <w:sz w:val="24"/>
          <w:szCs w:val="24"/>
        </w:rPr>
        <w:t>mengikuti tender bidang pekerjaan konstruksi sarana dan prasarana olahraga yang sumber pembiayaannya</w:t>
      </w:r>
      <w:r w:rsidR="00217FB0">
        <w:rPr>
          <w:rFonts w:ascii="Arial" w:hAnsi="Arial" w:cs="Arial"/>
          <w:noProof/>
          <w:sz w:val="24"/>
          <w:szCs w:val="24"/>
        </w:rPr>
        <w:t xml:space="preserve"> dari</w:t>
      </w:r>
      <w:r w:rsidR="00A37E5C">
        <w:rPr>
          <w:rFonts w:ascii="Arial" w:hAnsi="Arial" w:cs="Arial"/>
          <w:noProof/>
          <w:sz w:val="24"/>
          <w:szCs w:val="24"/>
        </w:rPr>
        <w:t xml:space="preserve"> APBN dan/atau APBD selama 2 tahun serta Terlapor V, VI, </w:t>
      </w:r>
      <w:r w:rsidR="00C526A3">
        <w:rPr>
          <w:rFonts w:ascii="Arial" w:hAnsi="Arial" w:cs="Arial"/>
          <w:noProof/>
          <w:sz w:val="24"/>
          <w:szCs w:val="24"/>
        </w:rPr>
        <w:t>dan</w:t>
      </w:r>
      <w:r w:rsidR="00A37E5C">
        <w:rPr>
          <w:rFonts w:ascii="Arial" w:hAnsi="Arial" w:cs="Arial"/>
          <w:noProof/>
          <w:sz w:val="24"/>
          <w:szCs w:val="24"/>
        </w:rPr>
        <w:t xml:space="preserve"> VII selama 1 tahun</w:t>
      </w:r>
      <w:r w:rsidR="00C526A3">
        <w:rPr>
          <w:rFonts w:ascii="Arial" w:hAnsi="Arial" w:cs="Arial"/>
          <w:noProof/>
          <w:sz w:val="24"/>
          <w:szCs w:val="24"/>
        </w:rPr>
        <w:t>,</w:t>
      </w:r>
      <w:r w:rsidR="00A37E5C">
        <w:rPr>
          <w:rFonts w:ascii="Arial" w:hAnsi="Arial" w:cs="Arial"/>
          <w:noProof/>
          <w:sz w:val="24"/>
          <w:szCs w:val="24"/>
        </w:rPr>
        <w:t xml:space="preserve"> di seluruh wilayah Indonesia sejak putusan KPPU ini berkekuatan hukum tetap</w:t>
      </w:r>
      <w:r w:rsidR="00F70D2E">
        <w:rPr>
          <w:rFonts w:ascii="Arial" w:hAnsi="Arial" w:cs="Arial"/>
          <w:noProof/>
          <w:sz w:val="24"/>
          <w:szCs w:val="24"/>
        </w:rPr>
        <w:t>.</w:t>
      </w:r>
    </w:p>
    <w:p w14:paraId="4F0F715E" w14:textId="557E85CE" w:rsidR="00612378" w:rsidRDefault="00704042" w:rsidP="00147351">
      <w:pPr>
        <w:jc w:val="both"/>
        <w:rPr>
          <w:rFonts w:ascii="Arial" w:hAnsi="Arial" w:cs="Arial"/>
          <w:noProof/>
          <w:sz w:val="24"/>
          <w:szCs w:val="24"/>
        </w:rPr>
      </w:pPr>
      <w:r>
        <w:rPr>
          <w:rFonts w:ascii="Arial" w:hAnsi="Arial" w:cs="Arial"/>
          <w:noProof/>
          <w:sz w:val="24"/>
          <w:szCs w:val="24"/>
        </w:rPr>
        <w:t>Keputusan KPPU tersebut diajukan keberatannya</w:t>
      </w:r>
      <w:r w:rsidR="00F70D2E">
        <w:rPr>
          <w:rFonts w:ascii="Arial" w:hAnsi="Arial" w:cs="Arial"/>
          <w:noProof/>
          <w:sz w:val="24"/>
          <w:szCs w:val="24"/>
        </w:rPr>
        <w:t xml:space="preserve"> ke PN Sukoharjo yang diputus oleh Majelis Hakim dengan menolak permohonan keberatan </w:t>
      </w:r>
      <w:r>
        <w:rPr>
          <w:rFonts w:ascii="Arial" w:hAnsi="Arial" w:cs="Arial"/>
          <w:noProof/>
          <w:sz w:val="24"/>
          <w:szCs w:val="24"/>
        </w:rPr>
        <w:t xml:space="preserve">karena menimbang bahwa </w:t>
      </w:r>
      <w:r w:rsidR="00612378">
        <w:rPr>
          <w:rFonts w:ascii="Arial" w:hAnsi="Arial" w:cs="Arial"/>
          <w:noProof/>
          <w:sz w:val="24"/>
          <w:szCs w:val="24"/>
        </w:rPr>
        <w:t>Terl</w:t>
      </w:r>
      <w:r w:rsidR="004C4874">
        <w:rPr>
          <w:rFonts w:ascii="Arial" w:hAnsi="Arial" w:cs="Arial"/>
          <w:noProof/>
          <w:sz w:val="24"/>
          <w:szCs w:val="24"/>
        </w:rPr>
        <w:t>a</w:t>
      </w:r>
      <w:r w:rsidR="00612378">
        <w:rPr>
          <w:rFonts w:ascii="Arial" w:hAnsi="Arial" w:cs="Arial"/>
          <w:noProof/>
          <w:sz w:val="24"/>
          <w:szCs w:val="24"/>
        </w:rPr>
        <w:t>por I, II, dan III telah memfasilitasi Terlapor IV, V, VI, VII, VIII, dan XI untuk melakukan pinjam meminjam perusahaan dan saling melakukan penyesuaian dokumen penawaran</w:t>
      </w:r>
      <w:r w:rsidR="004C4874">
        <w:rPr>
          <w:rFonts w:ascii="Arial" w:hAnsi="Arial" w:cs="Arial"/>
          <w:noProof/>
          <w:sz w:val="24"/>
          <w:szCs w:val="24"/>
        </w:rPr>
        <w:t xml:space="preserve"> guna</w:t>
      </w:r>
      <w:r w:rsidR="00612378">
        <w:rPr>
          <w:rFonts w:ascii="Arial" w:hAnsi="Arial" w:cs="Arial"/>
          <w:noProof/>
          <w:sz w:val="24"/>
          <w:szCs w:val="24"/>
        </w:rPr>
        <w:t xml:space="preserve"> memenangkan Terlapor IX dan Terlapor IV.</w:t>
      </w:r>
    </w:p>
    <w:p w14:paraId="18964379" w14:textId="5F8E3EAC" w:rsidR="00F70D2E" w:rsidRPr="004C1CC6" w:rsidRDefault="00E34DAB" w:rsidP="00147351">
      <w:pPr>
        <w:jc w:val="both"/>
        <w:rPr>
          <w:rFonts w:ascii="Arial" w:hAnsi="Arial" w:cs="Arial"/>
          <w:noProof/>
          <w:sz w:val="24"/>
          <w:szCs w:val="24"/>
        </w:rPr>
      </w:pPr>
      <w:r>
        <w:rPr>
          <w:rFonts w:ascii="Arial" w:hAnsi="Arial" w:cs="Arial"/>
          <w:noProof/>
          <w:sz w:val="24"/>
          <w:szCs w:val="24"/>
        </w:rPr>
        <w:t>Di</w:t>
      </w:r>
      <w:r w:rsidR="004C4874">
        <w:rPr>
          <w:rFonts w:ascii="Arial" w:hAnsi="Arial" w:cs="Arial"/>
          <w:noProof/>
          <w:sz w:val="24"/>
          <w:szCs w:val="24"/>
        </w:rPr>
        <w:t xml:space="preserve"> </w:t>
      </w:r>
      <w:r>
        <w:rPr>
          <w:rFonts w:ascii="Arial" w:hAnsi="Arial" w:cs="Arial"/>
          <w:noProof/>
          <w:sz w:val="24"/>
          <w:szCs w:val="24"/>
        </w:rPr>
        <w:t>tingkat Kasasi</w:t>
      </w:r>
      <w:r w:rsidR="00826C0A">
        <w:rPr>
          <w:rFonts w:ascii="Arial" w:hAnsi="Arial" w:cs="Arial"/>
          <w:noProof/>
          <w:sz w:val="24"/>
          <w:szCs w:val="24"/>
        </w:rPr>
        <w:t xml:space="preserve"> pada tahun 2020</w:t>
      </w:r>
      <w:r>
        <w:rPr>
          <w:rFonts w:ascii="Arial" w:hAnsi="Arial" w:cs="Arial"/>
          <w:noProof/>
          <w:sz w:val="24"/>
          <w:szCs w:val="24"/>
        </w:rPr>
        <w:t xml:space="preserve">, Majelis Hakim Agung juga menolak permohonan kasasi </w:t>
      </w:r>
      <w:r w:rsidR="00C526A3">
        <w:rPr>
          <w:rFonts w:ascii="Arial" w:hAnsi="Arial" w:cs="Arial"/>
          <w:noProof/>
          <w:sz w:val="24"/>
          <w:szCs w:val="24"/>
        </w:rPr>
        <w:t xml:space="preserve">mereka </w:t>
      </w:r>
      <w:r>
        <w:rPr>
          <w:rFonts w:ascii="Arial" w:hAnsi="Arial" w:cs="Arial"/>
          <w:noProof/>
          <w:sz w:val="24"/>
          <w:szCs w:val="24"/>
        </w:rPr>
        <w:t xml:space="preserve">dengan pertimbangan </w:t>
      </w:r>
      <w:r w:rsidR="00535F47">
        <w:rPr>
          <w:rFonts w:ascii="Arial" w:hAnsi="Arial" w:cs="Arial"/>
          <w:noProof/>
          <w:sz w:val="24"/>
          <w:szCs w:val="24"/>
        </w:rPr>
        <w:t>bahwa</w:t>
      </w:r>
      <w:r w:rsidR="004C4874">
        <w:rPr>
          <w:rFonts w:ascii="Arial" w:hAnsi="Arial" w:cs="Arial"/>
          <w:noProof/>
          <w:sz w:val="24"/>
          <w:szCs w:val="24"/>
        </w:rPr>
        <w:t xml:space="preserve"> </w:t>
      </w:r>
      <w:r w:rsidR="004C4874" w:rsidRPr="00535F47">
        <w:rPr>
          <w:rFonts w:ascii="Arial" w:hAnsi="Arial" w:cs="Arial"/>
          <w:b/>
          <w:bCs/>
          <w:noProof/>
          <w:sz w:val="24"/>
          <w:szCs w:val="24"/>
        </w:rPr>
        <w:t>kesamaan dokumen penawaran yang dimasukkan oleh Para Pemohon Kasasi telah cukup menunjukkan adanya persekongkolan tender</w:t>
      </w:r>
      <w:r w:rsidR="004C4874">
        <w:rPr>
          <w:rFonts w:ascii="Arial" w:hAnsi="Arial" w:cs="Arial"/>
          <w:noProof/>
          <w:sz w:val="24"/>
          <w:szCs w:val="24"/>
        </w:rPr>
        <w:t xml:space="preserve"> sebagaimana Pasal 22 </w:t>
      </w:r>
      <w:r w:rsidR="00217FB0">
        <w:rPr>
          <w:rFonts w:ascii="Arial" w:hAnsi="Arial" w:cs="Arial"/>
          <w:noProof/>
          <w:sz w:val="24"/>
          <w:szCs w:val="24"/>
        </w:rPr>
        <w:t>UU No. 5 Tahun 1999 tentang Larangan Praktek Monopoli dan Persaingan Usaha Tidak Sehat.</w:t>
      </w:r>
    </w:p>
    <w:p w14:paraId="2B607003" w14:textId="56501E0B" w:rsidR="00147351" w:rsidRDefault="00147351" w:rsidP="00147351">
      <w:pPr>
        <w:jc w:val="both"/>
        <w:rPr>
          <w:rFonts w:ascii="Arial" w:hAnsi="Arial" w:cs="Arial"/>
          <w:noProof/>
          <w:sz w:val="24"/>
          <w:szCs w:val="24"/>
        </w:rPr>
      </w:pPr>
      <w:r>
        <w:rPr>
          <w:rFonts w:ascii="Arial" w:hAnsi="Arial" w:cs="Arial"/>
          <w:noProof/>
          <w:sz w:val="24"/>
          <w:szCs w:val="24"/>
        </w:rPr>
        <w:t xml:space="preserve">→ Putusan Mahkamah Agung Nomor 893 K/Pdt.Sus-KPPU/2020, Tanggal 11 Agustus 2020 </w:t>
      </w:r>
    </w:p>
    <w:p w14:paraId="2DB5FE5B" w14:textId="076F17F6" w:rsidR="00147351" w:rsidRPr="00151CCB" w:rsidRDefault="00147351" w:rsidP="00147351">
      <w:pPr>
        <w:jc w:val="both"/>
        <w:rPr>
          <w:rFonts w:ascii="Arial" w:hAnsi="Arial" w:cs="Arial"/>
          <w:sz w:val="24"/>
          <w:szCs w:val="24"/>
        </w:rPr>
      </w:pPr>
      <w:r w:rsidRPr="00151CCB">
        <w:rPr>
          <w:rFonts w:ascii="Arial" w:hAnsi="Arial" w:cs="Arial"/>
          <w:noProof/>
          <w:sz w:val="24"/>
          <w:szCs w:val="24"/>
        </w:rPr>
        <w:t xml:space="preserve">Sumber: </w:t>
      </w:r>
      <w:hyperlink r:id="rId4" w:history="1">
        <w:r w:rsidRPr="00E624AC">
          <w:rPr>
            <w:rStyle w:val="Hyperlink"/>
            <w:rFonts w:ascii="Arial" w:hAnsi="Arial" w:cs="Arial"/>
            <w:noProof/>
            <w:sz w:val="24"/>
            <w:szCs w:val="24"/>
          </w:rPr>
          <w:t>https://putusan3.mahkamahagung.go.id/direktori/putusan/d53ba9eebf815dfb6c2acb208e4077d9.html</w:t>
        </w:r>
      </w:hyperlink>
      <w:r>
        <w:rPr>
          <w:rFonts w:ascii="Arial" w:hAnsi="Arial" w:cs="Arial"/>
          <w:noProof/>
          <w:sz w:val="24"/>
          <w:szCs w:val="24"/>
        </w:rPr>
        <w:t xml:space="preserve"> </w:t>
      </w:r>
    </w:p>
    <w:p w14:paraId="39EBA5AD" w14:textId="77777777" w:rsidR="00147351" w:rsidRPr="00251753" w:rsidRDefault="00147351" w:rsidP="00147351">
      <w:pPr>
        <w:jc w:val="both"/>
      </w:pPr>
    </w:p>
    <w:p w14:paraId="203FB5AA" w14:textId="77777777" w:rsidR="00147351" w:rsidRDefault="00147351" w:rsidP="00147351">
      <w:pPr>
        <w:spacing w:after="0"/>
        <w:jc w:val="both"/>
        <w:rPr>
          <w:rFonts w:ascii="Arial" w:hAnsi="Arial" w:cs="Arial"/>
          <w:noProof/>
          <w:sz w:val="24"/>
          <w:szCs w:val="24"/>
        </w:rPr>
      </w:pPr>
      <w:r>
        <w:rPr>
          <w:rFonts w:ascii="Arial" w:hAnsi="Arial" w:cs="Arial"/>
          <w:noProof/>
          <w:sz w:val="24"/>
          <w:szCs w:val="24"/>
        </w:rPr>
        <w:t>Salam Pengadaan,</w:t>
      </w:r>
    </w:p>
    <w:p w14:paraId="4729101A" w14:textId="77777777" w:rsidR="00147351" w:rsidRDefault="00147351" w:rsidP="00147351">
      <w:pPr>
        <w:spacing w:after="0"/>
        <w:jc w:val="both"/>
        <w:rPr>
          <w:rFonts w:ascii="Arial" w:hAnsi="Arial" w:cs="Arial"/>
          <w:noProof/>
          <w:sz w:val="24"/>
          <w:szCs w:val="24"/>
        </w:rPr>
      </w:pPr>
      <w:r>
        <w:rPr>
          <w:rFonts w:ascii="Arial" w:hAnsi="Arial" w:cs="Arial"/>
          <w:noProof/>
          <w:sz w:val="24"/>
          <w:szCs w:val="24"/>
        </w:rPr>
        <w:t>LBH Pengadaan Publik Indonesia</w:t>
      </w:r>
    </w:p>
    <w:p w14:paraId="5AAB98F9" w14:textId="58AF7E54" w:rsidR="007C6969" w:rsidRDefault="00147351" w:rsidP="00704042">
      <w:pPr>
        <w:spacing w:after="0"/>
        <w:jc w:val="both"/>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351"/>
    <w:rsid w:val="00147351"/>
    <w:rsid w:val="00217FB0"/>
    <w:rsid w:val="00422ADC"/>
    <w:rsid w:val="00447DE6"/>
    <w:rsid w:val="004C4874"/>
    <w:rsid w:val="00535F47"/>
    <w:rsid w:val="0053632F"/>
    <w:rsid w:val="00612378"/>
    <w:rsid w:val="006B4B2E"/>
    <w:rsid w:val="00704042"/>
    <w:rsid w:val="00776034"/>
    <w:rsid w:val="007C6969"/>
    <w:rsid w:val="00826C0A"/>
    <w:rsid w:val="00896143"/>
    <w:rsid w:val="009F3F4D"/>
    <w:rsid w:val="00A37E5C"/>
    <w:rsid w:val="00B37EEA"/>
    <w:rsid w:val="00BB5782"/>
    <w:rsid w:val="00BC39E8"/>
    <w:rsid w:val="00C526A3"/>
    <w:rsid w:val="00E34DAB"/>
    <w:rsid w:val="00F70D2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5B618"/>
  <w15:chartTrackingRefBased/>
  <w15:docId w15:val="{02B09343-E176-42CD-BB1E-594612CB9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351"/>
  </w:style>
  <w:style w:type="paragraph" w:styleId="Heading1">
    <w:name w:val="heading 1"/>
    <w:basedOn w:val="Normal"/>
    <w:next w:val="Normal"/>
    <w:link w:val="Heading1Char"/>
    <w:uiPriority w:val="9"/>
    <w:qFormat/>
    <w:rsid w:val="001473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73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73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73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73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73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3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3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3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3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73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73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73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73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73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3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3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351"/>
    <w:rPr>
      <w:rFonts w:eastAsiaTheme="majorEastAsia" w:cstheme="majorBidi"/>
      <w:color w:val="272727" w:themeColor="text1" w:themeTint="D8"/>
    </w:rPr>
  </w:style>
  <w:style w:type="paragraph" w:styleId="Title">
    <w:name w:val="Title"/>
    <w:basedOn w:val="Normal"/>
    <w:next w:val="Normal"/>
    <w:link w:val="TitleChar"/>
    <w:uiPriority w:val="10"/>
    <w:qFormat/>
    <w:rsid w:val="001473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3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3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3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351"/>
    <w:pPr>
      <w:spacing w:before="160"/>
      <w:jc w:val="center"/>
    </w:pPr>
    <w:rPr>
      <w:i/>
      <w:iCs/>
      <w:color w:val="404040" w:themeColor="text1" w:themeTint="BF"/>
    </w:rPr>
  </w:style>
  <w:style w:type="character" w:customStyle="1" w:styleId="QuoteChar">
    <w:name w:val="Quote Char"/>
    <w:basedOn w:val="DefaultParagraphFont"/>
    <w:link w:val="Quote"/>
    <w:uiPriority w:val="29"/>
    <w:rsid w:val="00147351"/>
    <w:rPr>
      <w:i/>
      <w:iCs/>
      <w:color w:val="404040" w:themeColor="text1" w:themeTint="BF"/>
    </w:rPr>
  </w:style>
  <w:style w:type="paragraph" w:styleId="ListParagraph">
    <w:name w:val="List Paragraph"/>
    <w:basedOn w:val="Normal"/>
    <w:uiPriority w:val="34"/>
    <w:qFormat/>
    <w:rsid w:val="00147351"/>
    <w:pPr>
      <w:ind w:left="720"/>
      <w:contextualSpacing/>
    </w:pPr>
  </w:style>
  <w:style w:type="character" w:styleId="IntenseEmphasis">
    <w:name w:val="Intense Emphasis"/>
    <w:basedOn w:val="DefaultParagraphFont"/>
    <w:uiPriority w:val="21"/>
    <w:qFormat/>
    <w:rsid w:val="00147351"/>
    <w:rPr>
      <w:i/>
      <w:iCs/>
      <w:color w:val="2F5496" w:themeColor="accent1" w:themeShade="BF"/>
    </w:rPr>
  </w:style>
  <w:style w:type="paragraph" w:styleId="IntenseQuote">
    <w:name w:val="Intense Quote"/>
    <w:basedOn w:val="Normal"/>
    <w:next w:val="Normal"/>
    <w:link w:val="IntenseQuoteChar"/>
    <w:uiPriority w:val="30"/>
    <w:qFormat/>
    <w:rsid w:val="001473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7351"/>
    <w:rPr>
      <w:i/>
      <w:iCs/>
      <w:color w:val="2F5496" w:themeColor="accent1" w:themeShade="BF"/>
    </w:rPr>
  </w:style>
  <w:style w:type="character" w:styleId="IntenseReference">
    <w:name w:val="Intense Reference"/>
    <w:basedOn w:val="DefaultParagraphFont"/>
    <w:uiPriority w:val="32"/>
    <w:qFormat/>
    <w:rsid w:val="00147351"/>
    <w:rPr>
      <w:b/>
      <w:bCs/>
      <w:smallCaps/>
      <w:color w:val="2F5496" w:themeColor="accent1" w:themeShade="BF"/>
      <w:spacing w:val="5"/>
    </w:rPr>
  </w:style>
  <w:style w:type="character" w:styleId="Hyperlink">
    <w:name w:val="Hyperlink"/>
    <w:basedOn w:val="DefaultParagraphFont"/>
    <w:uiPriority w:val="99"/>
    <w:unhideWhenUsed/>
    <w:rsid w:val="00147351"/>
    <w:rPr>
      <w:color w:val="0563C1" w:themeColor="hyperlink"/>
      <w:u w:val="single"/>
    </w:rPr>
  </w:style>
  <w:style w:type="character" w:styleId="UnresolvedMention">
    <w:name w:val="Unresolved Mention"/>
    <w:basedOn w:val="DefaultParagraphFont"/>
    <w:uiPriority w:val="99"/>
    <w:semiHidden/>
    <w:unhideWhenUsed/>
    <w:rsid w:val="001473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d53ba9eebf815dfb6c2acb208e4077d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1</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6</cp:revision>
  <dcterms:created xsi:type="dcterms:W3CDTF">2025-10-02T03:06:00Z</dcterms:created>
  <dcterms:modified xsi:type="dcterms:W3CDTF">2025-10-03T04:01:00Z</dcterms:modified>
</cp:coreProperties>
</file>