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E99C1" w14:textId="77777777" w:rsidR="00ED1B1E" w:rsidRDefault="00ED1B1E" w:rsidP="00ED1B1E">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537410A3" w14:textId="010287DE" w:rsidR="003E6407" w:rsidRDefault="00136D57" w:rsidP="003E6407">
      <w:pPr>
        <w:jc w:val="both"/>
        <w:rPr>
          <w:rFonts w:ascii="Arial" w:hAnsi="Arial" w:cs="Arial"/>
          <w:b/>
          <w:bCs/>
          <w:noProof/>
          <w:sz w:val="24"/>
          <w:szCs w:val="24"/>
        </w:rPr>
      </w:pPr>
      <w:r>
        <w:rPr>
          <w:rFonts w:ascii="Arial" w:hAnsi="Arial" w:cs="Arial"/>
          <w:b/>
          <w:bCs/>
          <w:noProof/>
          <w:sz w:val="24"/>
          <w:szCs w:val="24"/>
        </w:rPr>
        <w:t>Rabu</w:t>
      </w:r>
      <w:r w:rsidR="00ED1B1E">
        <w:rPr>
          <w:rFonts w:ascii="Arial" w:hAnsi="Arial" w:cs="Arial"/>
          <w:b/>
          <w:bCs/>
          <w:noProof/>
          <w:sz w:val="24"/>
          <w:szCs w:val="24"/>
        </w:rPr>
        <w:t>, 2</w:t>
      </w:r>
      <w:r>
        <w:rPr>
          <w:rFonts w:ascii="Arial" w:hAnsi="Arial" w:cs="Arial"/>
          <w:b/>
          <w:bCs/>
          <w:noProof/>
          <w:sz w:val="24"/>
          <w:szCs w:val="24"/>
        </w:rPr>
        <w:t>7</w:t>
      </w:r>
      <w:r w:rsidR="00ED1B1E">
        <w:rPr>
          <w:rFonts w:ascii="Arial" w:hAnsi="Arial" w:cs="Arial"/>
          <w:b/>
          <w:bCs/>
          <w:noProof/>
          <w:sz w:val="24"/>
          <w:szCs w:val="24"/>
        </w:rPr>
        <w:t xml:space="preserve"> Agustus 2025</w:t>
      </w:r>
    </w:p>
    <w:p w14:paraId="3999C6B5" w14:textId="77777777" w:rsidR="00A03F68" w:rsidRDefault="00A03F68" w:rsidP="003E6407">
      <w:pPr>
        <w:jc w:val="both"/>
        <w:rPr>
          <w:rFonts w:ascii="Arial" w:hAnsi="Arial" w:cs="Arial"/>
          <w:b/>
          <w:bCs/>
          <w:noProof/>
          <w:sz w:val="24"/>
          <w:szCs w:val="24"/>
        </w:rPr>
      </w:pPr>
      <w:r w:rsidRPr="00A03F68">
        <w:rPr>
          <w:rFonts w:ascii="Arial" w:hAnsi="Arial" w:cs="Arial"/>
          <w:b/>
          <w:bCs/>
          <w:noProof/>
          <w:sz w:val="24"/>
          <w:szCs w:val="24"/>
        </w:rPr>
        <w:t>PENGADILAN TUN TIDAK DAPAT MENERIMA GUGATAN DENGAN OBJEK SENGKETA PEMUTUSAN KONTRAK KARENA SENGKETA TERSEBUT MASUK DALAM KEWENANGAN ABSOLUT PERADILAN UMUM</w:t>
      </w:r>
    </w:p>
    <w:p w14:paraId="7699B1D0" w14:textId="77777777" w:rsidR="00A03F68" w:rsidRDefault="00A03F68" w:rsidP="003E6407">
      <w:pPr>
        <w:jc w:val="both"/>
        <w:rPr>
          <w:rFonts w:ascii="Arial" w:hAnsi="Arial" w:cs="Arial"/>
          <w:noProof/>
          <w:sz w:val="24"/>
          <w:szCs w:val="24"/>
        </w:rPr>
      </w:pPr>
      <w:r w:rsidRPr="00A03F68">
        <w:rPr>
          <w:rFonts w:ascii="Arial" w:hAnsi="Arial" w:cs="Arial"/>
          <w:noProof/>
          <w:sz w:val="24"/>
          <w:szCs w:val="24"/>
        </w:rPr>
        <w:t>Paket Preservasi Jalan Gusig-Simpang Blusuh dimenangkan oleh PT. Gunung Intan (Penggugat) sebagai Penyedia yang selanjutnya dilakukan penandatanganan kontrak pada Maret 2019 dengan PPK Satuan Kerja Pelaksanaan Jalan Nasional Wilayah I Prov. Kalimantan Timur (Tergugat). Pada November 2019 Tergugat kemudian mengeluarkan surat Pemutusan Kontrak (Objek Sengketa) karena keterlambatan pekerjaan oleh Penggugat.</w:t>
      </w:r>
    </w:p>
    <w:p w14:paraId="32CB3026" w14:textId="14729D87" w:rsidR="00AE3468" w:rsidRDefault="00A03F68" w:rsidP="003E6407">
      <w:pPr>
        <w:jc w:val="both"/>
        <w:rPr>
          <w:rFonts w:ascii="Arial" w:hAnsi="Arial" w:cs="Arial"/>
          <w:noProof/>
          <w:sz w:val="24"/>
          <w:szCs w:val="24"/>
        </w:rPr>
      </w:pPr>
      <w:r w:rsidRPr="00A03F68">
        <w:rPr>
          <w:rFonts w:ascii="Arial" w:hAnsi="Arial" w:cs="Arial"/>
          <w:noProof/>
          <w:sz w:val="24"/>
          <w:szCs w:val="24"/>
        </w:rPr>
        <w:t>Penggugat mengajukan gugatan ke PTUN Samarinda sesudah mengajukan upaya administratif sebelumnya. Penggugat mendalilkan bahwa Tergugat mengeluarkan Ketetapan TUN yaitu Objek Sengketa dengan cara Perbuatan Melanggar Hukum karena keterlambatan pekerjaan diakibatkan Uji Coba Tingkat I, II, III yang tidak dapat dilakukan karena Tergugat yang belum memperoleh Izin Penggunaan Jalan Lintas Tambang dari PT. Gunung Bayan Pratama Coal di mana perolehan izin ini adalah tanggung jawab penuh Tergugat.</w:t>
      </w:r>
    </w:p>
    <w:p w14:paraId="2B5DB58E" w14:textId="114FC1E0" w:rsidR="006A698D" w:rsidRDefault="00A03F68" w:rsidP="003E6407">
      <w:pPr>
        <w:jc w:val="both"/>
        <w:rPr>
          <w:rFonts w:ascii="Arial" w:hAnsi="Arial" w:cs="Arial"/>
          <w:noProof/>
          <w:sz w:val="24"/>
          <w:szCs w:val="24"/>
        </w:rPr>
      </w:pPr>
      <w:r w:rsidRPr="00A03F68">
        <w:rPr>
          <w:rFonts w:ascii="Arial" w:hAnsi="Arial" w:cs="Arial"/>
          <w:noProof/>
          <w:sz w:val="24"/>
          <w:szCs w:val="24"/>
        </w:rPr>
        <w:t>Keadaan ini dinyatakan Penggugat sebagai Kondisi Kahar karena izin tersebut di luar kuasa Penggugat dan Tergugat, tetapi Tergugat mengabaikan prosedur evaluasi penanganan kontrak kritis terkait ini. Terhadap gugatan, Tergugat mengajukan eksepsi kewenangan absolut karena Objek Sengketa bukanlah ranah Peradilan TUN untuk memeriksa dan memutus sebab merupakan perbuatan hukum perdata.</w:t>
      </w:r>
    </w:p>
    <w:p w14:paraId="627F5236" w14:textId="11A801AE" w:rsidR="00A03F68" w:rsidRDefault="00A03F68" w:rsidP="003E6407">
      <w:pPr>
        <w:jc w:val="both"/>
        <w:rPr>
          <w:rFonts w:ascii="Arial" w:hAnsi="Arial" w:cs="Arial"/>
          <w:noProof/>
          <w:sz w:val="24"/>
          <w:szCs w:val="24"/>
        </w:rPr>
      </w:pPr>
      <w:r w:rsidRPr="00A03F68">
        <w:rPr>
          <w:rFonts w:ascii="Arial" w:hAnsi="Arial" w:cs="Arial"/>
          <w:noProof/>
          <w:sz w:val="24"/>
          <w:szCs w:val="24"/>
        </w:rPr>
        <w:t>Majelis Hakim menimbang setelah membaca dalil gugatan dan tuntutan Penggugat secara berulang-ulang diketahui bahwa Penggugat bermaksud mengajukan Sengketa Perbuatan Melanggar Hukum oleh Tergugat karena telah menerbitkan Objek Sengketa, meskipun redaksional Penggugat tidak mencantumkan kata “</w:t>
      </w:r>
      <w:r w:rsidRPr="00A03F68">
        <w:rPr>
          <w:rFonts w:ascii="Arial" w:hAnsi="Arial" w:cs="Arial"/>
          <w:i/>
          <w:iCs/>
          <w:noProof/>
          <w:sz w:val="24"/>
          <w:szCs w:val="24"/>
        </w:rPr>
        <w:t>Tindakan Pemerintah</w:t>
      </w:r>
      <w:r w:rsidRPr="00A03F68">
        <w:rPr>
          <w:rFonts w:ascii="Arial" w:hAnsi="Arial" w:cs="Arial"/>
          <w:noProof/>
          <w:sz w:val="24"/>
          <w:szCs w:val="24"/>
        </w:rPr>
        <w:t>”,</w:t>
      </w:r>
      <w:r>
        <w:rPr>
          <w:rFonts w:ascii="Arial" w:hAnsi="Arial" w:cs="Arial"/>
          <w:noProof/>
          <w:sz w:val="24"/>
          <w:szCs w:val="24"/>
        </w:rPr>
        <w:t xml:space="preserve"> </w:t>
      </w:r>
      <w:r w:rsidRPr="00A03F68">
        <w:rPr>
          <w:rFonts w:ascii="Arial" w:hAnsi="Arial" w:cs="Arial"/>
          <w:noProof/>
          <w:sz w:val="24"/>
          <w:szCs w:val="24"/>
        </w:rPr>
        <w:t>tetapi hanya mencantumkan kalimat “</w:t>
      </w:r>
      <w:r w:rsidRPr="00A03F68">
        <w:rPr>
          <w:rFonts w:ascii="Arial" w:hAnsi="Arial" w:cs="Arial"/>
          <w:i/>
          <w:iCs/>
          <w:noProof/>
          <w:sz w:val="24"/>
          <w:szCs w:val="24"/>
        </w:rPr>
        <w:t>Keputusan PPK,… dan seterusnya</w:t>
      </w:r>
      <w:r w:rsidRPr="00A03F68">
        <w:rPr>
          <w:rFonts w:ascii="Arial" w:hAnsi="Arial" w:cs="Arial"/>
          <w:noProof/>
          <w:sz w:val="24"/>
          <w:szCs w:val="24"/>
        </w:rPr>
        <w:t>”.</w:t>
      </w:r>
    </w:p>
    <w:p w14:paraId="2FF69319" w14:textId="3B5261D1" w:rsidR="00EC46FD" w:rsidRDefault="009A3C58" w:rsidP="003E6407">
      <w:pPr>
        <w:jc w:val="both"/>
        <w:rPr>
          <w:rFonts w:ascii="Arial" w:hAnsi="Arial" w:cs="Arial"/>
          <w:noProof/>
          <w:sz w:val="24"/>
          <w:szCs w:val="24"/>
        </w:rPr>
      </w:pPr>
      <w:r>
        <w:rPr>
          <w:rFonts w:ascii="Arial" w:hAnsi="Arial" w:cs="Arial"/>
          <w:noProof/>
          <w:sz w:val="24"/>
          <w:szCs w:val="24"/>
        </w:rPr>
        <w:t>Setelah men</w:t>
      </w:r>
      <w:r w:rsidR="00EC46FD">
        <w:rPr>
          <w:rFonts w:ascii="Arial" w:hAnsi="Arial" w:cs="Arial"/>
          <w:noProof/>
          <w:sz w:val="24"/>
          <w:szCs w:val="24"/>
        </w:rPr>
        <w:t>e</w:t>
      </w:r>
      <w:r>
        <w:rPr>
          <w:rFonts w:ascii="Arial" w:hAnsi="Arial" w:cs="Arial"/>
          <w:noProof/>
          <w:sz w:val="24"/>
          <w:szCs w:val="24"/>
        </w:rPr>
        <w:t xml:space="preserve">liti Objek Sengketa dalam </w:t>
      </w:r>
      <w:r w:rsidR="00BA1EF9">
        <w:rPr>
          <w:rFonts w:ascii="Arial" w:hAnsi="Arial" w:cs="Arial"/>
          <w:noProof/>
          <w:sz w:val="24"/>
          <w:szCs w:val="24"/>
        </w:rPr>
        <w:t>unsur-unsur</w:t>
      </w:r>
      <w:r>
        <w:rPr>
          <w:rFonts w:ascii="Arial" w:hAnsi="Arial" w:cs="Arial"/>
          <w:noProof/>
          <w:sz w:val="24"/>
          <w:szCs w:val="24"/>
        </w:rPr>
        <w:t xml:space="preserve"> Keputusan Badan/Pejabat Negara, Majelis menimbang Objek Sengketa tidak memenuhi unsur-unsur yang dimaksud karena merupakan keputusan tata usaha negara yang dikecualikan sebagaimana Pasal 2 huruf a UU Peradilan TUN</w:t>
      </w:r>
      <w:r w:rsidR="00EC46FD">
        <w:rPr>
          <w:rFonts w:ascii="Arial" w:hAnsi="Arial" w:cs="Arial"/>
          <w:noProof/>
          <w:sz w:val="24"/>
          <w:szCs w:val="24"/>
        </w:rPr>
        <w:t>.</w:t>
      </w:r>
    </w:p>
    <w:p w14:paraId="761D784B" w14:textId="5CE278A5" w:rsidR="006A7030" w:rsidRDefault="00EC46FD" w:rsidP="003E6407">
      <w:pPr>
        <w:jc w:val="both"/>
        <w:rPr>
          <w:rFonts w:ascii="Arial" w:hAnsi="Arial" w:cs="Arial"/>
          <w:noProof/>
          <w:sz w:val="24"/>
          <w:szCs w:val="24"/>
        </w:rPr>
      </w:pPr>
      <w:r>
        <w:rPr>
          <w:rFonts w:ascii="Arial" w:hAnsi="Arial" w:cs="Arial"/>
          <w:noProof/>
          <w:sz w:val="24"/>
          <w:szCs w:val="24"/>
        </w:rPr>
        <w:t>Dalam putusan,</w:t>
      </w:r>
      <w:r w:rsidR="009A3C58">
        <w:rPr>
          <w:rFonts w:ascii="Arial" w:hAnsi="Arial" w:cs="Arial"/>
          <w:noProof/>
          <w:sz w:val="24"/>
          <w:szCs w:val="24"/>
        </w:rPr>
        <w:t xml:space="preserve"> M</w:t>
      </w:r>
      <w:r w:rsidR="00A03F68">
        <w:rPr>
          <w:rFonts w:ascii="Arial" w:hAnsi="Arial" w:cs="Arial"/>
          <w:noProof/>
          <w:sz w:val="24"/>
          <w:szCs w:val="24"/>
        </w:rPr>
        <w:t>a</w:t>
      </w:r>
      <w:r w:rsidR="009A3C58">
        <w:rPr>
          <w:rFonts w:ascii="Arial" w:hAnsi="Arial" w:cs="Arial"/>
          <w:noProof/>
          <w:sz w:val="24"/>
          <w:szCs w:val="24"/>
        </w:rPr>
        <w:t>jelis Hakim menerima eksepsi Tergugat dan menyatakan gugatan Penggugat tidak dapat diterima</w:t>
      </w:r>
      <w:r w:rsidR="00D942F9">
        <w:rPr>
          <w:rFonts w:ascii="Arial" w:hAnsi="Arial" w:cs="Arial"/>
          <w:noProof/>
          <w:sz w:val="24"/>
          <w:szCs w:val="24"/>
        </w:rPr>
        <w:t xml:space="preserve"> (</w:t>
      </w:r>
      <w:r w:rsidR="00D942F9">
        <w:rPr>
          <w:rFonts w:ascii="Arial" w:hAnsi="Arial" w:cs="Arial"/>
          <w:i/>
          <w:iCs/>
          <w:noProof/>
          <w:sz w:val="24"/>
          <w:szCs w:val="24"/>
        </w:rPr>
        <w:t>niet ontvankelijke verklaard</w:t>
      </w:r>
      <w:r w:rsidR="00D942F9">
        <w:rPr>
          <w:rFonts w:ascii="Arial" w:hAnsi="Arial" w:cs="Arial"/>
          <w:noProof/>
          <w:sz w:val="24"/>
          <w:szCs w:val="24"/>
        </w:rPr>
        <w:t>)</w:t>
      </w:r>
      <w:r w:rsidR="00BA1EF9">
        <w:rPr>
          <w:rFonts w:ascii="Arial" w:hAnsi="Arial" w:cs="Arial"/>
          <w:noProof/>
          <w:sz w:val="24"/>
          <w:szCs w:val="24"/>
        </w:rPr>
        <w:t xml:space="preserve">. Putusan ini </w:t>
      </w:r>
      <w:r w:rsidR="00D942F9">
        <w:rPr>
          <w:rFonts w:ascii="Arial" w:hAnsi="Arial" w:cs="Arial"/>
          <w:noProof/>
          <w:sz w:val="24"/>
          <w:szCs w:val="24"/>
        </w:rPr>
        <w:t>dikuatkan pada ting</w:t>
      </w:r>
      <w:r w:rsidR="00BA1EF9">
        <w:rPr>
          <w:rFonts w:ascii="Arial" w:hAnsi="Arial" w:cs="Arial"/>
          <w:noProof/>
          <w:sz w:val="24"/>
          <w:szCs w:val="24"/>
        </w:rPr>
        <w:t>kat</w:t>
      </w:r>
      <w:r w:rsidR="00D942F9">
        <w:rPr>
          <w:rFonts w:ascii="Arial" w:hAnsi="Arial" w:cs="Arial"/>
          <w:noProof/>
          <w:sz w:val="24"/>
          <w:szCs w:val="24"/>
        </w:rPr>
        <w:t xml:space="preserve"> banding dan kasasi karena Judex Facti PTUN Samarinda sudah benar dan tidak terdapat kesalahan dalam penerapan hukum.</w:t>
      </w:r>
    </w:p>
    <w:p w14:paraId="5D6AA80B" w14:textId="77777777" w:rsidR="00945E2E" w:rsidRPr="00D942F9" w:rsidRDefault="00945E2E" w:rsidP="003E6407">
      <w:pPr>
        <w:jc w:val="both"/>
        <w:rPr>
          <w:rFonts w:ascii="Arial" w:hAnsi="Arial" w:cs="Arial"/>
          <w:noProof/>
          <w:sz w:val="24"/>
          <w:szCs w:val="24"/>
        </w:rPr>
      </w:pPr>
    </w:p>
    <w:p w14:paraId="280F3281" w14:textId="6C8B0391" w:rsidR="00ED1B1E" w:rsidRDefault="00ED1B1E" w:rsidP="00ED1B1E">
      <w:pPr>
        <w:jc w:val="both"/>
        <w:rPr>
          <w:rFonts w:ascii="Arial" w:hAnsi="Arial" w:cs="Arial"/>
          <w:noProof/>
          <w:sz w:val="24"/>
          <w:szCs w:val="24"/>
        </w:rPr>
      </w:pPr>
      <w:r>
        <w:rPr>
          <w:rFonts w:ascii="Arial" w:hAnsi="Arial" w:cs="Arial"/>
          <w:noProof/>
          <w:sz w:val="24"/>
          <w:szCs w:val="24"/>
        </w:rPr>
        <w:t xml:space="preserve">→ Putusan Mahkamah Agung Nomor 164 K/TUN/2021, Tanggal 31 Mei 2021 </w:t>
      </w:r>
    </w:p>
    <w:p w14:paraId="6A115148" w14:textId="71D90DF7" w:rsidR="00ED1B1E" w:rsidRDefault="00ED1B1E" w:rsidP="00ED1B1E">
      <w:pPr>
        <w:jc w:val="both"/>
        <w:rPr>
          <w:rFonts w:ascii="Arial" w:hAnsi="Arial" w:cs="Arial"/>
          <w:noProof/>
          <w:sz w:val="24"/>
          <w:szCs w:val="24"/>
        </w:rPr>
      </w:pPr>
      <w:r>
        <w:rPr>
          <w:rFonts w:ascii="Arial" w:hAnsi="Arial" w:cs="Arial"/>
          <w:noProof/>
          <w:sz w:val="24"/>
          <w:szCs w:val="24"/>
        </w:rPr>
        <w:lastRenderedPageBreak/>
        <w:t xml:space="preserve">Sumber: </w:t>
      </w:r>
      <w:hyperlink r:id="rId5" w:history="1">
        <w:r w:rsidRPr="005E2A8A">
          <w:rPr>
            <w:rStyle w:val="Hyperlink"/>
            <w:rFonts w:ascii="Arial" w:hAnsi="Arial" w:cs="Arial"/>
            <w:noProof/>
            <w:sz w:val="24"/>
            <w:szCs w:val="24"/>
          </w:rPr>
          <w:t>https://putusan3.mahkamahagung.go.id/direktori/putusan/zaec152159a70dfa8652313330323332.html</w:t>
        </w:r>
      </w:hyperlink>
      <w:r>
        <w:rPr>
          <w:rFonts w:ascii="Arial" w:hAnsi="Arial" w:cs="Arial"/>
          <w:noProof/>
          <w:sz w:val="24"/>
          <w:szCs w:val="24"/>
        </w:rPr>
        <w:t xml:space="preserve"> </w:t>
      </w:r>
    </w:p>
    <w:p w14:paraId="79012306" w14:textId="77777777" w:rsidR="00ED1B1E" w:rsidRPr="00645E16" w:rsidRDefault="00ED1B1E" w:rsidP="00ED1B1E">
      <w:pPr>
        <w:spacing w:after="0"/>
        <w:jc w:val="both"/>
        <w:rPr>
          <w:rFonts w:ascii="Arial" w:hAnsi="Arial" w:cs="Arial"/>
          <w:sz w:val="24"/>
          <w:szCs w:val="24"/>
        </w:rPr>
      </w:pPr>
    </w:p>
    <w:p w14:paraId="3BA9930B" w14:textId="77777777" w:rsidR="00ED1B1E" w:rsidRDefault="00ED1B1E" w:rsidP="00ED1B1E">
      <w:pPr>
        <w:spacing w:after="0"/>
        <w:jc w:val="both"/>
        <w:rPr>
          <w:rFonts w:ascii="Arial" w:hAnsi="Arial" w:cs="Arial"/>
          <w:noProof/>
          <w:sz w:val="24"/>
          <w:szCs w:val="24"/>
        </w:rPr>
      </w:pPr>
      <w:r>
        <w:rPr>
          <w:rFonts w:ascii="Arial" w:hAnsi="Arial" w:cs="Arial"/>
          <w:noProof/>
          <w:sz w:val="24"/>
          <w:szCs w:val="24"/>
        </w:rPr>
        <w:t>Salam Pengadaan,</w:t>
      </w:r>
    </w:p>
    <w:p w14:paraId="737ADC31" w14:textId="77777777" w:rsidR="00ED1B1E" w:rsidRDefault="00ED1B1E" w:rsidP="00ED1B1E">
      <w:pPr>
        <w:spacing w:after="0"/>
        <w:jc w:val="both"/>
        <w:rPr>
          <w:rFonts w:ascii="Arial" w:hAnsi="Arial" w:cs="Arial"/>
          <w:noProof/>
          <w:sz w:val="24"/>
          <w:szCs w:val="24"/>
        </w:rPr>
      </w:pPr>
      <w:r>
        <w:rPr>
          <w:rFonts w:ascii="Arial" w:hAnsi="Arial" w:cs="Arial"/>
          <w:noProof/>
          <w:sz w:val="24"/>
          <w:szCs w:val="24"/>
        </w:rPr>
        <w:t>LBH Pengadaan Publik Indonesia</w:t>
      </w:r>
    </w:p>
    <w:p w14:paraId="4B5E43C7" w14:textId="77777777" w:rsidR="00ED1B1E" w:rsidRPr="00510202" w:rsidRDefault="00ED1B1E" w:rsidP="00ED1B1E">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7A5B0C6B" w14:textId="77777777" w:rsidR="00ED1B1E" w:rsidRDefault="00ED1B1E" w:rsidP="00ED1B1E"/>
    <w:p w14:paraId="11F870FD" w14:textId="77777777" w:rsidR="00ED1B1E" w:rsidRDefault="00ED1B1E" w:rsidP="00ED1B1E">
      <w:pPr>
        <w:jc w:val="both"/>
      </w:pPr>
    </w:p>
    <w:p w14:paraId="0313672A" w14:textId="77777777" w:rsidR="00ED1B1E" w:rsidRPr="00645E16" w:rsidRDefault="00ED1B1E" w:rsidP="00ED1B1E">
      <w:pPr>
        <w:spacing w:after="0"/>
        <w:jc w:val="both"/>
        <w:rPr>
          <w:rFonts w:ascii="Arial" w:hAnsi="Arial" w:cs="Arial"/>
          <w:sz w:val="24"/>
          <w:szCs w:val="24"/>
        </w:rPr>
      </w:pPr>
    </w:p>
    <w:p w14:paraId="1A697427" w14:textId="77777777" w:rsidR="00ED1B1E" w:rsidRDefault="00ED1B1E" w:rsidP="00ED1B1E"/>
    <w:p w14:paraId="5A99B0FE" w14:textId="77777777" w:rsidR="00ED1B1E" w:rsidRDefault="00ED1B1E" w:rsidP="00ED1B1E"/>
    <w:p w14:paraId="3A399869"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B7797A"/>
    <w:multiLevelType w:val="hybridMultilevel"/>
    <w:tmpl w:val="05BC552A"/>
    <w:lvl w:ilvl="0" w:tplc="2062B9EC">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608129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B1E"/>
    <w:rsid w:val="000512A3"/>
    <w:rsid w:val="00075A9D"/>
    <w:rsid w:val="000D23E8"/>
    <w:rsid w:val="00136D57"/>
    <w:rsid w:val="00183B00"/>
    <w:rsid w:val="00343145"/>
    <w:rsid w:val="003C5079"/>
    <w:rsid w:val="003E6407"/>
    <w:rsid w:val="00422ADC"/>
    <w:rsid w:val="00462282"/>
    <w:rsid w:val="004B0E51"/>
    <w:rsid w:val="00602A67"/>
    <w:rsid w:val="006822FB"/>
    <w:rsid w:val="006A698D"/>
    <w:rsid w:val="006A7030"/>
    <w:rsid w:val="00776034"/>
    <w:rsid w:val="007A47F0"/>
    <w:rsid w:val="007C6969"/>
    <w:rsid w:val="00945E2E"/>
    <w:rsid w:val="009A3C58"/>
    <w:rsid w:val="00A03F68"/>
    <w:rsid w:val="00AE3468"/>
    <w:rsid w:val="00BA1EF9"/>
    <w:rsid w:val="00C3123B"/>
    <w:rsid w:val="00C45879"/>
    <w:rsid w:val="00D240DF"/>
    <w:rsid w:val="00D942F9"/>
    <w:rsid w:val="00EC46FD"/>
    <w:rsid w:val="00ED1B1E"/>
    <w:rsid w:val="00F2471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7D7CF"/>
  <w15:chartTrackingRefBased/>
  <w15:docId w15:val="{41C4D5AE-3DE0-402C-BE58-0791503CC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B1E"/>
  </w:style>
  <w:style w:type="paragraph" w:styleId="Heading1">
    <w:name w:val="heading 1"/>
    <w:basedOn w:val="Normal"/>
    <w:next w:val="Normal"/>
    <w:link w:val="Heading1Char"/>
    <w:uiPriority w:val="9"/>
    <w:qFormat/>
    <w:rsid w:val="00ED1B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1B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B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1B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1B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1B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B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B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B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B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1B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1B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1B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1B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1B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B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B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B1E"/>
    <w:rPr>
      <w:rFonts w:eastAsiaTheme="majorEastAsia" w:cstheme="majorBidi"/>
      <w:color w:val="272727" w:themeColor="text1" w:themeTint="D8"/>
    </w:rPr>
  </w:style>
  <w:style w:type="paragraph" w:styleId="Title">
    <w:name w:val="Title"/>
    <w:basedOn w:val="Normal"/>
    <w:next w:val="Normal"/>
    <w:link w:val="TitleChar"/>
    <w:uiPriority w:val="10"/>
    <w:qFormat/>
    <w:rsid w:val="00ED1B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B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B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B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B1E"/>
    <w:pPr>
      <w:spacing w:before="160"/>
      <w:jc w:val="center"/>
    </w:pPr>
    <w:rPr>
      <w:i/>
      <w:iCs/>
      <w:color w:val="404040" w:themeColor="text1" w:themeTint="BF"/>
    </w:rPr>
  </w:style>
  <w:style w:type="character" w:customStyle="1" w:styleId="QuoteChar">
    <w:name w:val="Quote Char"/>
    <w:basedOn w:val="DefaultParagraphFont"/>
    <w:link w:val="Quote"/>
    <w:uiPriority w:val="29"/>
    <w:rsid w:val="00ED1B1E"/>
    <w:rPr>
      <w:i/>
      <w:iCs/>
      <w:color w:val="404040" w:themeColor="text1" w:themeTint="BF"/>
    </w:rPr>
  </w:style>
  <w:style w:type="paragraph" w:styleId="ListParagraph">
    <w:name w:val="List Paragraph"/>
    <w:basedOn w:val="Normal"/>
    <w:uiPriority w:val="34"/>
    <w:qFormat/>
    <w:rsid w:val="00ED1B1E"/>
    <w:pPr>
      <w:ind w:left="720"/>
      <w:contextualSpacing/>
    </w:pPr>
  </w:style>
  <w:style w:type="character" w:styleId="IntenseEmphasis">
    <w:name w:val="Intense Emphasis"/>
    <w:basedOn w:val="DefaultParagraphFont"/>
    <w:uiPriority w:val="21"/>
    <w:qFormat/>
    <w:rsid w:val="00ED1B1E"/>
    <w:rPr>
      <w:i/>
      <w:iCs/>
      <w:color w:val="2F5496" w:themeColor="accent1" w:themeShade="BF"/>
    </w:rPr>
  </w:style>
  <w:style w:type="paragraph" w:styleId="IntenseQuote">
    <w:name w:val="Intense Quote"/>
    <w:basedOn w:val="Normal"/>
    <w:next w:val="Normal"/>
    <w:link w:val="IntenseQuoteChar"/>
    <w:uiPriority w:val="30"/>
    <w:qFormat/>
    <w:rsid w:val="00ED1B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1B1E"/>
    <w:rPr>
      <w:i/>
      <w:iCs/>
      <w:color w:val="2F5496" w:themeColor="accent1" w:themeShade="BF"/>
    </w:rPr>
  </w:style>
  <w:style w:type="character" w:styleId="IntenseReference">
    <w:name w:val="Intense Reference"/>
    <w:basedOn w:val="DefaultParagraphFont"/>
    <w:uiPriority w:val="32"/>
    <w:qFormat/>
    <w:rsid w:val="00ED1B1E"/>
    <w:rPr>
      <w:b/>
      <w:bCs/>
      <w:smallCaps/>
      <w:color w:val="2F5496" w:themeColor="accent1" w:themeShade="BF"/>
      <w:spacing w:val="5"/>
    </w:rPr>
  </w:style>
  <w:style w:type="character" w:styleId="Hyperlink">
    <w:name w:val="Hyperlink"/>
    <w:basedOn w:val="DefaultParagraphFont"/>
    <w:uiPriority w:val="99"/>
    <w:unhideWhenUsed/>
    <w:rsid w:val="00ED1B1E"/>
    <w:rPr>
      <w:color w:val="0563C1" w:themeColor="hyperlink"/>
      <w:u w:val="single"/>
    </w:rPr>
  </w:style>
  <w:style w:type="character" w:styleId="UnresolvedMention">
    <w:name w:val="Unresolved Mention"/>
    <w:basedOn w:val="DefaultParagraphFont"/>
    <w:uiPriority w:val="99"/>
    <w:semiHidden/>
    <w:unhideWhenUsed/>
    <w:rsid w:val="00ED1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c152159a70dfa8652313330323332.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1</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8</cp:revision>
  <dcterms:created xsi:type="dcterms:W3CDTF">2025-08-26T02:50:00Z</dcterms:created>
  <dcterms:modified xsi:type="dcterms:W3CDTF">2025-08-27T11:10:00Z</dcterms:modified>
</cp:coreProperties>
</file>