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42297" w14:textId="77777777" w:rsidR="00213AA9" w:rsidRDefault="00213AA9" w:rsidP="00213AA9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0B2D0710" w14:textId="0CAC8D77" w:rsidR="00213AA9" w:rsidRDefault="00D11D5E" w:rsidP="00D11D5E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Senin</w:t>
      </w:r>
      <w:r w:rsidR="00213AA9">
        <w:rPr>
          <w:rFonts w:ascii="Arial" w:hAnsi="Arial" w:cs="Arial"/>
          <w:b/>
          <w:bCs/>
          <w:noProof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noProof/>
          <w:sz w:val="24"/>
          <w:szCs w:val="24"/>
        </w:rPr>
        <w:t>22</w:t>
      </w:r>
      <w:r w:rsidR="00213AA9">
        <w:rPr>
          <w:rFonts w:ascii="Arial" w:hAnsi="Arial" w:cs="Arial"/>
          <w:b/>
          <w:bCs/>
          <w:noProof/>
          <w:sz w:val="24"/>
          <w:szCs w:val="24"/>
        </w:rPr>
        <w:t xml:space="preserve"> Desember 2025</w:t>
      </w:r>
    </w:p>
    <w:p w14:paraId="06344340" w14:textId="69FBE821" w:rsidR="00D11D5E" w:rsidRDefault="00D11D5E" w:rsidP="00D11D5E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MAHKAMAH AGUNG MENIMBANG</w:t>
      </w:r>
      <w:r w:rsidR="00DE631E">
        <w:rPr>
          <w:rFonts w:ascii="Arial" w:hAnsi="Arial" w:cs="Arial"/>
          <w:b/>
          <w:bCs/>
          <w:noProof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noProof/>
          <w:sz w:val="24"/>
          <w:szCs w:val="24"/>
        </w:rPr>
        <w:t>TINDAKAN DIREKSI</w:t>
      </w:r>
      <w:r w:rsidR="00DE631E">
        <w:rPr>
          <w:rFonts w:ascii="Arial" w:hAnsi="Arial" w:cs="Arial"/>
          <w:b/>
          <w:bCs/>
          <w:noProof/>
          <w:sz w:val="24"/>
          <w:szCs w:val="24"/>
        </w:rPr>
        <w:t xml:space="preserve"> PERUSAHAAN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YANG MELAKUKAN TENDER ULANG ADALAH SUATU KEBIJAKAN INTERNAL, BUKAN PERSEKONGKOLAN</w:t>
      </w:r>
      <w:r w:rsidR="00DE631E">
        <w:rPr>
          <w:rFonts w:ascii="Arial" w:hAnsi="Arial" w:cs="Arial"/>
          <w:b/>
          <w:bCs/>
          <w:noProof/>
          <w:sz w:val="24"/>
          <w:szCs w:val="24"/>
        </w:rPr>
        <w:t xml:space="preserve"> SELAMA TIDAK TERDAPAT BUKTI LANGSUNG MAUPUN TIDAK LANGSUNG</w:t>
      </w:r>
    </w:p>
    <w:p w14:paraId="2F796A98" w14:textId="4C4A176A" w:rsidR="00B64B37" w:rsidRDefault="002603C3" w:rsidP="00747CC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Dalam putusan</w:t>
      </w:r>
      <w:r w:rsidR="00B64B37">
        <w:rPr>
          <w:rFonts w:ascii="Arial" w:hAnsi="Arial" w:cs="Arial"/>
          <w:noProof/>
          <w:sz w:val="24"/>
          <w:szCs w:val="24"/>
        </w:rPr>
        <w:t xml:space="preserve"> KPPU RI Nomor 17/KPPU-L/2022,</w:t>
      </w:r>
      <w:r>
        <w:rPr>
          <w:rFonts w:ascii="Arial" w:hAnsi="Arial" w:cs="Arial"/>
          <w:noProof/>
          <w:sz w:val="24"/>
          <w:szCs w:val="24"/>
        </w:rPr>
        <w:t xml:space="preserve"> 3 </w:t>
      </w:r>
      <w:r w:rsidR="00B64B37">
        <w:rPr>
          <w:rFonts w:ascii="Arial" w:hAnsi="Arial" w:cs="Arial"/>
          <w:noProof/>
          <w:sz w:val="24"/>
          <w:szCs w:val="24"/>
        </w:rPr>
        <w:t xml:space="preserve">terlapor </w:t>
      </w:r>
      <w:r w:rsidR="00B40743">
        <w:rPr>
          <w:rFonts w:ascii="Arial" w:hAnsi="Arial" w:cs="Arial"/>
          <w:noProof/>
          <w:sz w:val="24"/>
          <w:szCs w:val="24"/>
        </w:rPr>
        <w:t xml:space="preserve">ditetapkan bersekongkol </w:t>
      </w:r>
      <w:r w:rsidR="00005F0E">
        <w:rPr>
          <w:rFonts w:ascii="Arial" w:hAnsi="Arial" w:cs="Arial"/>
          <w:noProof/>
          <w:sz w:val="24"/>
          <w:szCs w:val="24"/>
        </w:rPr>
        <w:t xml:space="preserve">pada </w:t>
      </w:r>
      <w:r w:rsidR="00B64B37" w:rsidRPr="00747CC0">
        <w:rPr>
          <w:rFonts w:ascii="Arial" w:hAnsi="Arial" w:cs="Arial"/>
          <w:noProof/>
          <w:sz w:val="24"/>
          <w:szCs w:val="24"/>
        </w:rPr>
        <w:t>tender Pekerjaan Revitalisasi Pusat Kesenian Jakarta Taman Ismail Marzuki Tahap III</w:t>
      </w:r>
      <w:r w:rsidR="00B64B37">
        <w:rPr>
          <w:rFonts w:ascii="Arial" w:hAnsi="Arial" w:cs="Arial"/>
          <w:noProof/>
          <w:sz w:val="24"/>
          <w:szCs w:val="24"/>
        </w:rPr>
        <w:t xml:space="preserve"> yang dilaksanakan oleh Terlapor 1, yaitu </w:t>
      </w:r>
      <w:r w:rsidR="00B64B37" w:rsidRPr="00747CC0">
        <w:rPr>
          <w:rFonts w:ascii="Arial" w:hAnsi="Arial" w:cs="Arial"/>
          <w:noProof/>
          <w:sz w:val="24"/>
          <w:szCs w:val="24"/>
        </w:rPr>
        <w:t>PT Jakarta Propertindo (Perseroda)</w:t>
      </w:r>
      <w:r w:rsidR="00B64B37">
        <w:rPr>
          <w:rFonts w:ascii="Arial" w:hAnsi="Arial" w:cs="Arial"/>
          <w:noProof/>
          <w:sz w:val="24"/>
          <w:szCs w:val="24"/>
        </w:rPr>
        <w:t xml:space="preserve"> yang </w:t>
      </w:r>
      <w:r w:rsidR="00183173">
        <w:rPr>
          <w:rFonts w:ascii="Arial" w:hAnsi="Arial" w:cs="Arial"/>
          <w:noProof/>
          <w:sz w:val="24"/>
          <w:szCs w:val="24"/>
        </w:rPr>
        <w:t>99% sahamnya dipegang oleh P</w:t>
      </w:r>
      <w:r w:rsidR="00005F0E">
        <w:rPr>
          <w:rFonts w:ascii="Arial" w:hAnsi="Arial" w:cs="Arial"/>
          <w:noProof/>
          <w:sz w:val="24"/>
          <w:szCs w:val="24"/>
        </w:rPr>
        <w:t>emerintah DKI Jakarta.</w:t>
      </w:r>
    </w:p>
    <w:p w14:paraId="6116678C" w14:textId="3360AFA5" w:rsidR="00183173" w:rsidRDefault="00B64B37" w:rsidP="00183173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Pada pokoknya, KPPU RI </w:t>
      </w:r>
      <w:r w:rsidR="002603C3">
        <w:rPr>
          <w:rFonts w:ascii="Arial" w:hAnsi="Arial" w:cs="Arial"/>
          <w:noProof/>
          <w:sz w:val="24"/>
          <w:szCs w:val="24"/>
        </w:rPr>
        <w:t>menyatakan</w:t>
      </w:r>
      <w:r w:rsidR="00183173">
        <w:rPr>
          <w:rFonts w:ascii="Arial" w:hAnsi="Arial" w:cs="Arial"/>
          <w:noProof/>
          <w:sz w:val="24"/>
          <w:szCs w:val="24"/>
        </w:rPr>
        <w:t xml:space="preserve"> Terlapor I </w:t>
      </w:r>
      <w:r w:rsidR="002603C3">
        <w:rPr>
          <w:rFonts w:ascii="Arial" w:hAnsi="Arial" w:cs="Arial"/>
          <w:noProof/>
          <w:sz w:val="24"/>
          <w:szCs w:val="24"/>
        </w:rPr>
        <w:t xml:space="preserve">telah </w:t>
      </w:r>
      <w:r w:rsidR="00183173">
        <w:rPr>
          <w:rFonts w:ascii="Arial" w:hAnsi="Arial" w:cs="Arial"/>
          <w:noProof/>
          <w:sz w:val="24"/>
          <w:szCs w:val="24"/>
        </w:rPr>
        <w:t>memfasilitasi Terlapor II (PT Pemba</w:t>
      </w:r>
      <w:r w:rsidR="00005F0E">
        <w:rPr>
          <w:rFonts w:ascii="Arial" w:hAnsi="Arial" w:cs="Arial"/>
          <w:noProof/>
          <w:sz w:val="24"/>
          <w:szCs w:val="24"/>
        </w:rPr>
        <w:t>n</w:t>
      </w:r>
      <w:r w:rsidR="00183173">
        <w:rPr>
          <w:rFonts w:ascii="Arial" w:hAnsi="Arial" w:cs="Arial"/>
          <w:noProof/>
          <w:sz w:val="24"/>
          <w:szCs w:val="24"/>
        </w:rPr>
        <w:t xml:space="preserve">gunan Perumahan (Persero) Tbk) dan Terlapor III (PT Jaya Konstruksi Manggala Pratama, Tbk) untuk memenangkan tender dalam bentuk intervensi </w:t>
      </w:r>
      <w:r w:rsidR="00005F0E">
        <w:rPr>
          <w:rFonts w:ascii="Arial" w:hAnsi="Arial" w:cs="Arial"/>
          <w:noProof/>
          <w:sz w:val="24"/>
          <w:szCs w:val="24"/>
        </w:rPr>
        <w:t>oleh</w:t>
      </w:r>
      <w:r w:rsidR="00183173">
        <w:rPr>
          <w:rFonts w:ascii="Arial" w:hAnsi="Arial" w:cs="Arial"/>
          <w:noProof/>
          <w:sz w:val="24"/>
          <w:szCs w:val="24"/>
        </w:rPr>
        <w:t xml:space="preserve"> Direksi Terlapor I kepada Tim Pengadaan yang dibentuk</w:t>
      </w:r>
      <w:r w:rsidR="00005F0E">
        <w:rPr>
          <w:rFonts w:ascii="Arial" w:hAnsi="Arial" w:cs="Arial"/>
          <w:noProof/>
          <w:sz w:val="24"/>
          <w:szCs w:val="24"/>
        </w:rPr>
        <w:t xml:space="preserve">nya </w:t>
      </w:r>
      <w:r w:rsidR="00183173">
        <w:rPr>
          <w:rFonts w:ascii="Arial" w:hAnsi="Arial" w:cs="Arial"/>
          <w:noProof/>
          <w:sz w:val="24"/>
          <w:szCs w:val="24"/>
        </w:rPr>
        <w:t xml:space="preserve">dengan cara meminta data rincian penilaian teknis Termohon II dan III </w:t>
      </w:r>
      <w:r w:rsidR="004B3A42">
        <w:rPr>
          <w:rFonts w:ascii="Arial" w:hAnsi="Arial" w:cs="Arial"/>
          <w:noProof/>
          <w:sz w:val="24"/>
          <w:szCs w:val="24"/>
        </w:rPr>
        <w:t>hingga</w:t>
      </w:r>
      <w:r w:rsidR="00183173">
        <w:rPr>
          <w:rFonts w:ascii="Arial" w:hAnsi="Arial" w:cs="Arial"/>
          <w:noProof/>
          <w:sz w:val="24"/>
          <w:szCs w:val="24"/>
        </w:rPr>
        <w:t xml:space="preserve"> kemudian mengadakan tender ulang tanpa alasan </w:t>
      </w:r>
      <w:r w:rsidR="004B3A42">
        <w:rPr>
          <w:rFonts w:ascii="Arial" w:hAnsi="Arial" w:cs="Arial"/>
          <w:noProof/>
          <w:sz w:val="24"/>
          <w:szCs w:val="24"/>
        </w:rPr>
        <w:t xml:space="preserve">yang </w:t>
      </w:r>
      <w:r w:rsidR="00183173">
        <w:rPr>
          <w:rFonts w:ascii="Arial" w:hAnsi="Arial" w:cs="Arial"/>
          <w:noProof/>
          <w:sz w:val="24"/>
          <w:szCs w:val="24"/>
        </w:rPr>
        <w:t>sah.</w:t>
      </w:r>
    </w:p>
    <w:p w14:paraId="123BD163" w14:textId="5A1999AC" w:rsidR="00CD7968" w:rsidRDefault="00183173" w:rsidP="00CD7968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Diketahui bahwa </w:t>
      </w:r>
      <w:r w:rsidR="004B3A42">
        <w:rPr>
          <w:rFonts w:ascii="Arial" w:hAnsi="Arial" w:cs="Arial"/>
          <w:noProof/>
          <w:sz w:val="24"/>
          <w:szCs w:val="24"/>
        </w:rPr>
        <w:t xml:space="preserve">Terlapor II dan III </w:t>
      </w:r>
      <w:r w:rsidR="00005F0E">
        <w:rPr>
          <w:rFonts w:ascii="Arial" w:hAnsi="Arial" w:cs="Arial"/>
          <w:noProof/>
          <w:sz w:val="24"/>
          <w:szCs w:val="24"/>
        </w:rPr>
        <w:t xml:space="preserve">telah </w:t>
      </w:r>
      <w:r w:rsidR="004B3A42">
        <w:rPr>
          <w:rFonts w:ascii="Arial" w:hAnsi="Arial" w:cs="Arial"/>
          <w:noProof/>
          <w:sz w:val="24"/>
          <w:szCs w:val="24"/>
        </w:rPr>
        <w:t>menyepakati KSO di mana Terlapor II sebagai perusahaan utamanya (</w:t>
      </w:r>
      <w:r w:rsidR="004B3A42">
        <w:rPr>
          <w:rFonts w:ascii="Arial" w:hAnsi="Arial" w:cs="Arial"/>
          <w:i/>
          <w:iCs/>
          <w:noProof/>
          <w:sz w:val="24"/>
          <w:szCs w:val="24"/>
        </w:rPr>
        <w:t xml:space="preserve">Leadfirm </w:t>
      </w:r>
      <w:r w:rsidR="004B3A42">
        <w:rPr>
          <w:rFonts w:ascii="Arial" w:hAnsi="Arial" w:cs="Arial"/>
          <w:noProof/>
          <w:sz w:val="24"/>
          <w:szCs w:val="24"/>
        </w:rPr>
        <w:t xml:space="preserve">KSO). KSO </w:t>
      </w:r>
      <w:r w:rsidR="00005F0E">
        <w:rPr>
          <w:rFonts w:ascii="Arial" w:hAnsi="Arial" w:cs="Arial"/>
          <w:noProof/>
          <w:sz w:val="24"/>
          <w:szCs w:val="24"/>
        </w:rPr>
        <w:t>tersebut</w:t>
      </w:r>
      <w:r w:rsidR="004B3A42">
        <w:rPr>
          <w:rFonts w:ascii="Arial" w:hAnsi="Arial" w:cs="Arial"/>
          <w:noProof/>
          <w:sz w:val="24"/>
          <w:szCs w:val="24"/>
        </w:rPr>
        <w:t xml:space="preserve"> dinamai PP – JAKON KSO </w:t>
      </w:r>
      <w:r w:rsidR="00005F0E">
        <w:rPr>
          <w:rFonts w:ascii="Arial" w:hAnsi="Arial" w:cs="Arial"/>
          <w:noProof/>
          <w:sz w:val="24"/>
          <w:szCs w:val="24"/>
        </w:rPr>
        <w:t xml:space="preserve">yang selanjutnya </w:t>
      </w:r>
      <w:r w:rsidR="002603C3">
        <w:rPr>
          <w:rFonts w:ascii="Arial" w:hAnsi="Arial" w:cs="Arial"/>
          <w:noProof/>
          <w:sz w:val="24"/>
          <w:szCs w:val="24"/>
        </w:rPr>
        <w:t xml:space="preserve">menjadi </w:t>
      </w:r>
      <w:r w:rsidR="004B3A42">
        <w:rPr>
          <w:rFonts w:ascii="Arial" w:hAnsi="Arial" w:cs="Arial"/>
          <w:noProof/>
          <w:sz w:val="24"/>
          <w:szCs w:val="24"/>
        </w:rPr>
        <w:t xml:space="preserve">peserta dan kemudian ditetapkan sebagai pemenang </w:t>
      </w:r>
      <w:r w:rsidR="00005F0E">
        <w:rPr>
          <w:rFonts w:ascii="Arial" w:hAnsi="Arial" w:cs="Arial"/>
          <w:noProof/>
          <w:sz w:val="24"/>
          <w:szCs w:val="24"/>
        </w:rPr>
        <w:t>tender</w:t>
      </w:r>
      <w:r w:rsidR="004B3A42">
        <w:rPr>
          <w:rFonts w:ascii="Arial" w:hAnsi="Arial" w:cs="Arial"/>
          <w:noProof/>
          <w:sz w:val="24"/>
          <w:szCs w:val="24"/>
        </w:rPr>
        <w:t>.</w:t>
      </w:r>
      <w:r w:rsidR="00CD7968">
        <w:rPr>
          <w:rFonts w:ascii="Arial" w:hAnsi="Arial" w:cs="Arial"/>
          <w:noProof/>
          <w:sz w:val="24"/>
          <w:szCs w:val="24"/>
        </w:rPr>
        <w:t xml:space="preserve"> Dalam putusannya Majelis KPPU RI menghukum Terlapor II membayar denda Rp. 16.800.000.000 dan Terlapor III Rp. 11.200.000.000.</w:t>
      </w:r>
    </w:p>
    <w:p w14:paraId="57999B46" w14:textId="77777777" w:rsidR="00B40743" w:rsidRDefault="00CD7968" w:rsidP="00B40743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Terlapor II dan III mengajukan keberatan ke Pengadilan Niaga </w:t>
      </w:r>
      <w:r w:rsidR="00005F0E">
        <w:rPr>
          <w:rFonts w:ascii="Arial" w:hAnsi="Arial" w:cs="Arial"/>
          <w:noProof/>
          <w:sz w:val="24"/>
          <w:szCs w:val="24"/>
        </w:rPr>
        <w:t>di</w:t>
      </w:r>
      <w:r>
        <w:rPr>
          <w:rFonts w:ascii="Arial" w:hAnsi="Arial" w:cs="Arial"/>
          <w:noProof/>
          <w:sz w:val="24"/>
          <w:szCs w:val="24"/>
        </w:rPr>
        <w:t xml:space="preserve"> PN Jakarta Pusat. Dalam putusannya, Majelis Hakim menolak dengan pertimbangan bahwa keputusan KPPU RI sudah tepat dan benar serta telah pula membuktikan perbuatan Para Terlapor</w:t>
      </w:r>
      <w:r w:rsidR="004E04B3">
        <w:rPr>
          <w:rFonts w:ascii="Arial" w:hAnsi="Arial" w:cs="Arial"/>
          <w:noProof/>
          <w:sz w:val="24"/>
          <w:szCs w:val="24"/>
        </w:rPr>
        <w:t>.</w:t>
      </w:r>
      <w:r w:rsidR="00B40743">
        <w:rPr>
          <w:rFonts w:ascii="Arial" w:hAnsi="Arial" w:cs="Arial"/>
          <w:noProof/>
          <w:sz w:val="24"/>
          <w:szCs w:val="24"/>
        </w:rPr>
        <w:t xml:space="preserve"> </w:t>
      </w:r>
    </w:p>
    <w:p w14:paraId="30C9426E" w14:textId="3B0310F9" w:rsidR="004E04B3" w:rsidRPr="00B40743" w:rsidRDefault="004E04B3" w:rsidP="00B40743">
      <w:pPr>
        <w:jc w:val="both"/>
        <w:rPr>
          <w:rFonts w:ascii="Arial" w:hAnsi="Arial" w:cs="Arial"/>
          <w:noProof/>
          <w:sz w:val="24"/>
          <w:szCs w:val="24"/>
        </w:rPr>
      </w:pPr>
      <w:r w:rsidRPr="004E04B3">
        <w:rPr>
          <w:rFonts w:ascii="Arial" w:hAnsi="Arial" w:cs="Arial"/>
          <w:noProof/>
          <w:sz w:val="24"/>
          <w:szCs w:val="24"/>
        </w:rPr>
        <w:t xml:space="preserve">Di tingkat Kasasi, Majelis Hakim Agung menimbang putusan Judex Facti </w:t>
      </w:r>
      <w:r w:rsidR="00870301">
        <w:rPr>
          <w:rFonts w:ascii="Arial" w:hAnsi="Arial" w:cs="Arial"/>
          <w:noProof/>
          <w:sz w:val="24"/>
          <w:szCs w:val="24"/>
        </w:rPr>
        <w:t xml:space="preserve">tersebut </w:t>
      </w:r>
      <w:r w:rsidRPr="004E04B3">
        <w:rPr>
          <w:rFonts w:ascii="Arial" w:hAnsi="Arial" w:cs="Arial"/>
          <w:noProof/>
          <w:sz w:val="24"/>
          <w:szCs w:val="24"/>
        </w:rPr>
        <w:t>kurang pertimbangan (</w:t>
      </w:r>
      <w:r w:rsidRPr="004E04B3">
        <w:rPr>
          <w:rFonts w:ascii="Arial" w:hAnsi="Arial" w:cs="Arial"/>
          <w:i/>
          <w:iCs/>
          <w:noProof/>
          <w:sz w:val="24"/>
          <w:szCs w:val="24"/>
        </w:rPr>
        <w:t>onvoldoende gemotiveerd</w:t>
      </w:r>
      <w:r w:rsidRPr="004E04B3">
        <w:rPr>
          <w:rFonts w:ascii="Arial" w:hAnsi="Arial" w:cs="Arial"/>
          <w:noProof/>
          <w:sz w:val="24"/>
          <w:szCs w:val="24"/>
        </w:rPr>
        <w:t xml:space="preserve">) karena hanya </w:t>
      </w:r>
      <w:r w:rsidRPr="00787DDD">
        <w:rPr>
          <w:rFonts w:ascii="Arial" w:hAnsi="Arial" w:cs="Arial"/>
          <w:noProof/>
          <w:sz w:val="24"/>
          <w:szCs w:val="24"/>
        </w:rPr>
        <w:t>menyimpulkan tanpa alasan atau pertimbangan yang cukup terhadap ketepatan pertimbangan KPPU.</w:t>
      </w:r>
    </w:p>
    <w:p w14:paraId="3D20F36E" w14:textId="5845C13E" w:rsidR="009F3FD6" w:rsidRPr="00005F0E" w:rsidRDefault="004E04B3" w:rsidP="004E04B3">
      <w:pPr>
        <w:jc w:val="both"/>
        <w:rPr>
          <w:rFonts w:ascii="Arial" w:hAnsi="Arial" w:cs="Arial"/>
          <w:noProof/>
          <w:sz w:val="24"/>
          <w:szCs w:val="24"/>
        </w:rPr>
      </w:pPr>
      <w:r w:rsidRPr="00005F0E">
        <w:rPr>
          <w:rFonts w:ascii="Arial" w:hAnsi="Arial" w:cs="Arial"/>
          <w:noProof/>
          <w:sz w:val="24"/>
          <w:szCs w:val="24"/>
        </w:rPr>
        <w:t xml:space="preserve">Majelis Hakim Agung </w:t>
      </w:r>
      <w:r w:rsidR="00870301">
        <w:rPr>
          <w:rFonts w:ascii="Arial" w:hAnsi="Arial" w:cs="Arial"/>
          <w:noProof/>
          <w:sz w:val="24"/>
          <w:szCs w:val="24"/>
        </w:rPr>
        <w:t>menimbang</w:t>
      </w:r>
      <w:r w:rsidRPr="00005F0E">
        <w:rPr>
          <w:rFonts w:ascii="Arial" w:hAnsi="Arial" w:cs="Arial"/>
          <w:noProof/>
          <w:sz w:val="24"/>
          <w:szCs w:val="24"/>
        </w:rPr>
        <w:t xml:space="preserve"> bahwa</w:t>
      </w:r>
      <w:r w:rsidR="00747CC0" w:rsidRPr="00005F0E">
        <w:rPr>
          <w:rFonts w:ascii="Arial" w:hAnsi="Arial" w:cs="Arial"/>
          <w:noProof/>
          <w:sz w:val="24"/>
          <w:szCs w:val="24"/>
        </w:rPr>
        <w:t xml:space="preserve"> tindakan Terlapor I yang melakukan tender ulang memang menguntungkan Terlapor II dan III karena ditetapkan sebagai pemenan</w:t>
      </w:r>
      <w:r w:rsidRPr="00005F0E">
        <w:rPr>
          <w:rFonts w:ascii="Arial" w:hAnsi="Arial" w:cs="Arial"/>
          <w:noProof/>
          <w:sz w:val="24"/>
          <w:szCs w:val="24"/>
        </w:rPr>
        <w:t>g</w:t>
      </w:r>
      <w:r w:rsidR="00747CC0" w:rsidRPr="00005F0E">
        <w:rPr>
          <w:rFonts w:ascii="Arial" w:hAnsi="Arial" w:cs="Arial"/>
          <w:noProof/>
          <w:sz w:val="24"/>
          <w:szCs w:val="24"/>
        </w:rPr>
        <w:t xml:space="preserve">. </w:t>
      </w:r>
      <w:r w:rsidR="00D11D5E">
        <w:rPr>
          <w:rFonts w:ascii="Arial" w:hAnsi="Arial" w:cs="Arial"/>
          <w:noProof/>
          <w:sz w:val="24"/>
          <w:szCs w:val="24"/>
        </w:rPr>
        <w:t>Namun</w:t>
      </w:r>
      <w:r w:rsidR="00747CC0" w:rsidRPr="00005F0E">
        <w:rPr>
          <w:rFonts w:ascii="Arial" w:hAnsi="Arial" w:cs="Arial"/>
          <w:noProof/>
          <w:sz w:val="24"/>
          <w:szCs w:val="24"/>
        </w:rPr>
        <w:t xml:space="preserve">, tindakan tersebut merupakan kebijakan internal dan tidak terdapat bukti langsung maupun tidak langsung yang menunjukkan tindakan Terlapor I dilakukan </w:t>
      </w:r>
      <w:r w:rsidR="0037635A">
        <w:rPr>
          <w:rFonts w:ascii="Arial" w:hAnsi="Arial" w:cs="Arial"/>
          <w:noProof/>
          <w:sz w:val="24"/>
          <w:szCs w:val="24"/>
        </w:rPr>
        <w:t>dengan</w:t>
      </w:r>
      <w:r w:rsidR="00747CC0" w:rsidRPr="00005F0E">
        <w:rPr>
          <w:rFonts w:ascii="Arial" w:hAnsi="Arial" w:cs="Arial"/>
          <w:noProof/>
          <w:sz w:val="24"/>
          <w:szCs w:val="24"/>
        </w:rPr>
        <w:t xml:space="preserve"> kerja sama dan/atau permintaan Terlapor II dan III sehingga Mahkamah Agung </w:t>
      </w:r>
      <w:r w:rsidR="002603C3">
        <w:rPr>
          <w:rFonts w:ascii="Arial" w:hAnsi="Arial" w:cs="Arial"/>
          <w:noProof/>
          <w:sz w:val="24"/>
          <w:szCs w:val="24"/>
        </w:rPr>
        <w:t>menyatakan</w:t>
      </w:r>
      <w:r w:rsidR="00747CC0" w:rsidRPr="00005F0E">
        <w:rPr>
          <w:rFonts w:ascii="Arial" w:hAnsi="Arial" w:cs="Arial"/>
          <w:noProof/>
          <w:sz w:val="24"/>
          <w:szCs w:val="24"/>
        </w:rPr>
        <w:t xml:space="preserve"> tindakan tersebut bukanlah persekongkolan sebagaimana ketentuan Pasal 22 UU No. 5 Tahun 1999</w:t>
      </w:r>
      <w:r w:rsidR="002603C3">
        <w:rPr>
          <w:rFonts w:ascii="Arial" w:hAnsi="Arial" w:cs="Arial"/>
          <w:noProof/>
          <w:sz w:val="24"/>
          <w:szCs w:val="24"/>
        </w:rPr>
        <w:t xml:space="preserve"> dan dalam putusannya menerima permohonan kasasi Para Terlapor.</w:t>
      </w:r>
    </w:p>
    <w:p w14:paraId="5974A27D" w14:textId="1B2B01A4" w:rsidR="00213AA9" w:rsidRPr="00005F0E" w:rsidRDefault="00213AA9" w:rsidP="00213AA9">
      <w:pPr>
        <w:jc w:val="both"/>
        <w:rPr>
          <w:rFonts w:ascii="Arial" w:hAnsi="Arial" w:cs="Arial"/>
          <w:noProof/>
          <w:sz w:val="24"/>
          <w:szCs w:val="24"/>
        </w:rPr>
      </w:pPr>
      <w:r w:rsidRPr="00005F0E">
        <w:rPr>
          <w:rFonts w:ascii="Arial" w:hAnsi="Arial" w:cs="Arial"/>
          <w:noProof/>
          <w:sz w:val="24"/>
          <w:szCs w:val="24"/>
        </w:rPr>
        <w:t>→ Putusan Mahkamah Agung Nomor</w:t>
      </w:r>
      <w:r w:rsidR="00434D70" w:rsidRPr="00005F0E">
        <w:rPr>
          <w:rFonts w:ascii="Arial" w:hAnsi="Arial" w:cs="Arial"/>
          <w:noProof/>
          <w:sz w:val="24"/>
          <w:szCs w:val="24"/>
        </w:rPr>
        <w:t xml:space="preserve"> 523 K/Pdt-KPPU/2024</w:t>
      </w:r>
      <w:r w:rsidRPr="00005F0E">
        <w:rPr>
          <w:rFonts w:ascii="Arial" w:hAnsi="Arial" w:cs="Arial"/>
          <w:noProof/>
          <w:sz w:val="24"/>
          <w:szCs w:val="24"/>
        </w:rPr>
        <w:t xml:space="preserve">, Tanggal </w:t>
      </w:r>
      <w:r w:rsidR="00434D70" w:rsidRPr="00005F0E">
        <w:rPr>
          <w:rFonts w:ascii="Arial" w:hAnsi="Arial" w:cs="Arial"/>
          <w:noProof/>
          <w:sz w:val="24"/>
          <w:szCs w:val="24"/>
        </w:rPr>
        <w:t>31 Juli 2024</w:t>
      </w:r>
    </w:p>
    <w:p w14:paraId="6A8A7FA8" w14:textId="51F0AEC6" w:rsidR="00213AA9" w:rsidRPr="00005F0E" w:rsidRDefault="00213AA9" w:rsidP="00213AA9">
      <w:pPr>
        <w:jc w:val="both"/>
        <w:rPr>
          <w:rFonts w:ascii="Arial" w:hAnsi="Arial" w:cs="Arial"/>
          <w:sz w:val="24"/>
          <w:szCs w:val="24"/>
        </w:rPr>
      </w:pPr>
      <w:r w:rsidRPr="00005F0E">
        <w:rPr>
          <w:rFonts w:ascii="Arial" w:hAnsi="Arial" w:cs="Arial"/>
          <w:noProof/>
          <w:sz w:val="24"/>
          <w:szCs w:val="24"/>
        </w:rPr>
        <w:t xml:space="preserve">Sumber: </w:t>
      </w:r>
      <w:hyperlink r:id="rId5" w:history="1">
        <w:r w:rsidR="002603C3" w:rsidRPr="006038B7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https://putusan3.mahkamahagung.go.id/direktori/putusan/zaef9be8c75a54bead68303934323335.html</w:t>
        </w:r>
      </w:hyperlink>
      <w:r w:rsidR="002603C3">
        <w:rPr>
          <w:rFonts w:ascii="Arial" w:hAnsi="Arial" w:cs="Arial"/>
          <w:noProof/>
          <w:sz w:val="24"/>
          <w:szCs w:val="24"/>
        </w:rPr>
        <w:t xml:space="preserve"> </w:t>
      </w:r>
    </w:p>
    <w:p w14:paraId="5E503F99" w14:textId="77777777" w:rsidR="00213AA9" w:rsidRPr="00251753" w:rsidRDefault="00213AA9" w:rsidP="00213AA9">
      <w:pPr>
        <w:jc w:val="both"/>
      </w:pPr>
    </w:p>
    <w:p w14:paraId="47A4BC2E" w14:textId="77777777" w:rsidR="00213AA9" w:rsidRDefault="00213AA9" w:rsidP="00213AA9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t>Salam Pengadaan,</w:t>
      </w:r>
    </w:p>
    <w:p w14:paraId="142747CB" w14:textId="5139D81C" w:rsidR="007C6969" w:rsidRDefault="00213AA9" w:rsidP="00D11D5E">
      <w:pPr>
        <w:spacing w:after="0"/>
        <w:jc w:val="both"/>
      </w:pPr>
      <w:r>
        <w:rPr>
          <w:rFonts w:ascii="Arial" w:hAnsi="Arial" w:cs="Arial"/>
          <w:noProof/>
          <w:sz w:val="24"/>
          <w:szCs w:val="24"/>
        </w:rPr>
        <w:t xml:space="preserve">LBH Pengadaan Publik Indonesia </w:t>
      </w:r>
    </w:p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54AD4"/>
    <w:multiLevelType w:val="hybridMultilevel"/>
    <w:tmpl w:val="958A6504"/>
    <w:lvl w:ilvl="0" w:tplc="E4007F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12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A9"/>
    <w:rsid w:val="00005F0E"/>
    <w:rsid w:val="00090A68"/>
    <w:rsid w:val="00132ED2"/>
    <w:rsid w:val="00183173"/>
    <w:rsid w:val="001C16ED"/>
    <w:rsid w:val="00213AA9"/>
    <w:rsid w:val="002603C3"/>
    <w:rsid w:val="003044ED"/>
    <w:rsid w:val="0037635A"/>
    <w:rsid w:val="00391394"/>
    <w:rsid w:val="00395901"/>
    <w:rsid w:val="003D3ED2"/>
    <w:rsid w:val="00422ADC"/>
    <w:rsid w:val="00434D70"/>
    <w:rsid w:val="004B3A42"/>
    <w:rsid w:val="004E04B3"/>
    <w:rsid w:val="00556785"/>
    <w:rsid w:val="00597402"/>
    <w:rsid w:val="0063079D"/>
    <w:rsid w:val="00747CC0"/>
    <w:rsid w:val="00776034"/>
    <w:rsid w:val="00786A3F"/>
    <w:rsid w:val="00787DDD"/>
    <w:rsid w:val="007C6969"/>
    <w:rsid w:val="00870301"/>
    <w:rsid w:val="00885C00"/>
    <w:rsid w:val="008E6CF9"/>
    <w:rsid w:val="009C795B"/>
    <w:rsid w:val="009F3FD6"/>
    <w:rsid w:val="00A85C1B"/>
    <w:rsid w:val="00B40743"/>
    <w:rsid w:val="00B64B37"/>
    <w:rsid w:val="00CD7968"/>
    <w:rsid w:val="00D11D5E"/>
    <w:rsid w:val="00D24D46"/>
    <w:rsid w:val="00DE631E"/>
    <w:rsid w:val="00FB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D2FDC"/>
  <w15:chartTrackingRefBased/>
  <w15:docId w15:val="{A6311B85-C6FE-40FA-B734-CCCD472A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AA9"/>
  </w:style>
  <w:style w:type="paragraph" w:styleId="Heading1">
    <w:name w:val="heading 1"/>
    <w:basedOn w:val="Normal"/>
    <w:next w:val="Normal"/>
    <w:link w:val="Heading1Char"/>
    <w:uiPriority w:val="9"/>
    <w:qFormat/>
    <w:rsid w:val="00213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A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A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A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A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A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A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A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A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A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A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AA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3A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zaef9be8c75a54bead6830393432333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14</cp:revision>
  <dcterms:created xsi:type="dcterms:W3CDTF">2025-12-09T04:30:00Z</dcterms:created>
  <dcterms:modified xsi:type="dcterms:W3CDTF">2025-12-22T09:02:00Z</dcterms:modified>
</cp:coreProperties>
</file>