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F7E3E" w14:textId="77777777" w:rsidR="006E7F46" w:rsidRDefault="006E7F46" w:rsidP="006E7F46">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00FAD8AF" w14:textId="1E0E941A" w:rsidR="006E7F46" w:rsidRDefault="006E7F46" w:rsidP="006E7F46">
      <w:pPr>
        <w:jc w:val="both"/>
        <w:rPr>
          <w:rFonts w:ascii="Arial" w:hAnsi="Arial" w:cs="Arial"/>
          <w:b/>
          <w:bCs/>
          <w:noProof/>
          <w:sz w:val="24"/>
          <w:szCs w:val="24"/>
        </w:rPr>
      </w:pPr>
      <w:r>
        <w:rPr>
          <w:rFonts w:ascii="Arial" w:hAnsi="Arial" w:cs="Arial"/>
          <w:b/>
          <w:bCs/>
          <w:noProof/>
          <w:sz w:val="24"/>
          <w:szCs w:val="24"/>
        </w:rPr>
        <w:t>Senin, 21 Juli 2025</w:t>
      </w:r>
    </w:p>
    <w:p w14:paraId="325761FB" w14:textId="70E772AE" w:rsidR="006E7F46" w:rsidRDefault="00E76C6C" w:rsidP="006E7F46">
      <w:pPr>
        <w:jc w:val="both"/>
        <w:rPr>
          <w:rFonts w:ascii="Arial" w:hAnsi="Arial" w:cs="Arial"/>
          <w:b/>
          <w:bCs/>
          <w:noProof/>
          <w:sz w:val="24"/>
          <w:szCs w:val="24"/>
        </w:rPr>
      </w:pPr>
      <w:r>
        <w:rPr>
          <w:rFonts w:ascii="Arial" w:hAnsi="Arial" w:cs="Arial"/>
          <w:b/>
          <w:bCs/>
          <w:noProof/>
          <w:sz w:val="24"/>
          <w:szCs w:val="24"/>
        </w:rPr>
        <w:t>DITERIMA : GUGATAN CALON PENYEDIA YANG DIGUGURKAN OLEH POKJA TANPA MENGEDEPANKAN FAKTA DAN KEPENTINGAN YANG RELEVAN DALAM KEPUTUSAN</w:t>
      </w:r>
    </w:p>
    <w:p w14:paraId="72ADF115" w14:textId="77777777" w:rsidR="00D85A92" w:rsidRDefault="00D85A92" w:rsidP="006E7F46">
      <w:pPr>
        <w:jc w:val="both"/>
        <w:rPr>
          <w:rFonts w:ascii="Arial" w:hAnsi="Arial" w:cs="Arial"/>
          <w:noProof/>
          <w:sz w:val="24"/>
          <w:szCs w:val="24"/>
        </w:rPr>
      </w:pPr>
      <w:r w:rsidRPr="00D85A92">
        <w:rPr>
          <w:rFonts w:ascii="Arial" w:hAnsi="Arial" w:cs="Arial"/>
          <w:noProof/>
          <w:sz w:val="24"/>
          <w:szCs w:val="24"/>
        </w:rPr>
        <w:t>Pokja (Tergugat) pada Pengadaan Pekerjaan Konsturksi Pembangunan Gedung Tapak Tuan Sport Center Lanjutan di Kab. Aceh Selatan telah mengeluarkan Berita Acara Hasil Pemilihan (BAHP) yang kemudian digugat oleh PT. Bangun Rezki Inddi Makmur (Penggugat) karena meyakini tender tersebut seharusnya dimenangkan olehnya karena telah memenuhi persyaratan kualifikasi sesuai dengan Dokumen Pemilihan, tetapi digugurkan oleh Tergugat.</w:t>
      </w:r>
    </w:p>
    <w:p w14:paraId="3E7AB729" w14:textId="3D23E1E4" w:rsidR="00D85A92" w:rsidRPr="00D85A92" w:rsidRDefault="00D85A92" w:rsidP="00D85A92">
      <w:pPr>
        <w:jc w:val="both"/>
        <w:rPr>
          <w:rFonts w:ascii="Arial" w:hAnsi="Arial" w:cs="Arial"/>
          <w:noProof/>
          <w:sz w:val="24"/>
          <w:szCs w:val="24"/>
        </w:rPr>
      </w:pPr>
      <w:r w:rsidRPr="00D85A92">
        <w:rPr>
          <w:rFonts w:ascii="Arial" w:hAnsi="Arial" w:cs="Arial"/>
          <w:noProof/>
          <w:sz w:val="24"/>
          <w:szCs w:val="24"/>
        </w:rPr>
        <w:t>Alasan Tergugat karena menemukan informasi yang tidak sesuai di dalam daftar riwayat hidup pekerjaan para personel manajerial yang merupakan SDM dari Penggugat, yaitu terkait pekerjaan pembangunan sebuah gedung sekolah di Kota Tangerang dengan mencantumkan lama pekerjaan dari 14-9-2016 s/d 28-12-2016. Informasi ini berbeda dengan laman LPSE Kota Tangerang yang mencantunkan lama kontrak pekerjaan tersebut dari 26-11-2016 s/d 5-12-2016. Dengan ini, Tergugat menggugurkan Penggugat tanpa melakukan klarifikasi baik kepada Penggugat maupun pihak terkait (KPA Kota Tangerang).</w:t>
      </w:r>
    </w:p>
    <w:p w14:paraId="777C5A89" w14:textId="77777777" w:rsidR="00D85A92" w:rsidRDefault="00D85A92" w:rsidP="006E7F46">
      <w:pPr>
        <w:jc w:val="both"/>
        <w:rPr>
          <w:rFonts w:ascii="Arial" w:hAnsi="Arial" w:cs="Arial"/>
          <w:noProof/>
          <w:sz w:val="24"/>
          <w:szCs w:val="24"/>
        </w:rPr>
      </w:pPr>
      <w:r w:rsidRPr="00D85A92">
        <w:rPr>
          <w:rFonts w:ascii="Arial" w:hAnsi="Arial" w:cs="Arial"/>
          <w:noProof/>
          <w:sz w:val="24"/>
          <w:szCs w:val="24"/>
        </w:rPr>
        <w:t>Penggugat telah melakukan keberatan dan sanggah banding sebagai upaya administrasi terhadap BAHP tersebut, hingga akhirnya memasukkan gugatan ke PTUN Banda Aceh yang dalam putusannya menolak gugatan Penggugat dengan pertimbangan bahwa Tergugat secara aspek substansi sudah benar mengeluarkan BAHP tersebut.</w:t>
      </w:r>
    </w:p>
    <w:p w14:paraId="3F746886" w14:textId="78B2A3C7" w:rsidR="00A92DCE" w:rsidRDefault="00D85A92" w:rsidP="006E7F46">
      <w:pPr>
        <w:jc w:val="both"/>
        <w:rPr>
          <w:rFonts w:ascii="Arial" w:hAnsi="Arial" w:cs="Arial"/>
          <w:noProof/>
          <w:sz w:val="24"/>
          <w:szCs w:val="24"/>
        </w:rPr>
      </w:pPr>
      <w:r w:rsidRPr="00D85A92">
        <w:rPr>
          <w:rFonts w:ascii="Arial" w:hAnsi="Arial" w:cs="Arial"/>
          <w:noProof/>
          <w:sz w:val="24"/>
          <w:szCs w:val="24"/>
        </w:rPr>
        <w:t>Namun, pada tingkat banding putusan tersebut dibatalkan dan Majelis Hakim banding menerima gugatan Penggugat seluruhnya. Majelis menimbang bahwa seharusnya Tergugat memasukkan semua fakta dan kepentingan yang relevan ke dalam pertimbangannya agar tidak merugikan pihak lain. Tergugat juga dinyatakan telah mengabaikan Dokumen Pemilihan</w:t>
      </w:r>
      <w:r>
        <w:rPr>
          <w:rFonts w:ascii="Arial" w:hAnsi="Arial" w:cs="Arial"/>
          <w:noProof/>
          <w:sz w:val="24"/>
          <w:szCs w:val="24"/>
        </w:rPr>
        <w:t xml:space="preserve"> </w:t>
      </w:r>
      <w:r w:rsidRPr="00D85A92">
        <w:rPr>
          <w:rFonts w:ascii="Arial" w:hAnsi="Arial" w:cs="Arial"/>
          <w:noProof/>
          <w:sz w:val="24"/>
          <w:szCs w:val="24"/>
        </w:rPr>
        <w:t>yang mengakibatkan Penggugat tidak</w:t>
      </w:r>
      <w:r>
        <w:rPr>
          <w:rFonts w:ascii="Arial" w:hAnsi="Arial" w:cs="Arial"/>
          <w:noProof/>
          <w:sz w:val="24"/>
          <w:szCs w:val="24"/>
        </w:rPr>
        <w:t xml:space="preserve"> </w:t>
      </w:r>
      <w:r w:rsidRPr="00D85A92">
        <w:rPr>
          <w:rFonts w:ascii="Arial" w:hAnsi="Arial" w:cs="Arial"/>
          <w:noProof/>
          <w:sz w:val="24"/>
          <w:szCs w:val="24"/>
        </w:rPr>
        <w:t>diikutsertakan dalam evaluasi,</w:t>
      </w:r>
      <w:r>
        <w:rPr>
          <w:rFonts w:ascii="Arial" w:hAnsi="Arial" w:cs="Arial"/>
          <w:noProof/>
          <w:sz w:val="24"/>
          <w:szCs w:val="24"/>
        </w:rPr>
        <w:t xml:space="preserve"> </w:t>
      </w:r>
      <w:r w:rsidRPr="00D85A92">
        <w:rPr>
          <w:rFonts w:ascii="Arial" w:hAnsi="Arial" w:cs="Arial"/>
          <w:noProof/>
          <w:sz w:val="24"/>
          <w:szCs w:val="24"/>
        </w:rPr>
        <w:t>di mana ini bertentangan dengan</w:t>
      </w:r>
      <w:r>
        <w:rPr>
          <w:rFonts w:ascii="Arial" w:hAnsi="Arial" w:cs="Arial"/>
          <w:noProof/>
          <w:sz w:val="24"/>
          <w:szCs w:val="24"/>
        </w:rPr>
        <w:t xml:space="preserve"> </w:t>
      </w:r>
      <w:r w:rsidRPr="00D85A92">
        <w:rPr>
          <w:rFonts w:ascii="Arial" w:hAnsi="Arial" w:cs="Arial"/>
          <w:noProof/>
          <w:sz w:val="24"/>
          <w:szCs w:val="24"/>
        </w:rPr>
        <w:t>Pasal 94 ayat (1) Permen PUPR No.</w:t>
      </w:r>
      <w:r>
        <w:rPr>
          <w:rFonts w:ascii="Arial" w:hAnsi="Arial" w:cs="Arial"/>
          <w:noProof/>
          <w:sz w:val="24"/>
          <w:szCs w:val="24"/>
        </w:rPr>
        <w:t xml:space="preserve"> </w:t>
      </w:r>
      <w:r w:rsidRPr="00D85A92">
        <w:rPr>
          <w:rFonts w:ascii="Arial" w:hAnsi="Arial" w:cs="Arial"/>
          <w:noProof/>
          <w:sz w:val="24"/>
          <w:szCs w:val="24"/>
        </w:rPr>
        <w:t>14 Tahun 2020 serta asas-asas</w:t>
      </w:r>
      <w:r>
        <w:rPr>
          <w:rFonts w:ascii="Arial" w:hAnsi="Arial" w:cs="Arial"/>
          <w:noProof/>
          <w:sz w:val="24"/>
          <w:szCs w:val="24"/>
        </w:rPr>
        <w:t xml:space="preserve"> </w:t>
      </w:r>
      <w:r w:rsidRPr="00D85A92">
        <w:rPr>
          <w:rFonts w:ascii="Arial" w:hAnsi="Arial" w:cs="Arial"/>
          <w:noProof/>
          <w:sz w:val="24"/>
          <w:szCs w:val="24"/>
        </w:rPr>
        <w:t>umum pemerintahan yang baik</w:t>
      </w:r>
      <w:r>
        <w:rPr>
          <w:rFonts w:ascii="Arial" w:hAnsi="Arial" w:cs="Arial"/>
          <w:noProof/>
          <w:sz w:val="24"/>
          <w:szCs w:val="24"/>
        </w:rPr>
        <w:t xml:space="preserve"> </w:t>
      </w:r>
      <w:r w:rsidRPr="00D85A92">
        <w:rPr>
          <w:rFonts w:ascii="Arial" w:hAnsi="Arial" w:cs="Arial"/>
          <w:noProof/>
          <w:sz w:val="24"/>
          <w:szCs w:val="24"/>
        </w:rPr>
        <w:t>terutama asas kecermatan.</w:t>
      </w:r>
    </w:p>
    <w:p w14:paraId="17004FA5" w14:textId="77777777" w:rsidR="00D85A92" w:rsidRDefault="00D85A92" w:rsidP="006E7F46">
      <w:pPr>
        <w:jc w:val="both"/>
        <w:rPr>
          <w:rFonts w:ascii="Arial" w:hAnsi="Arial" w:cs="Arial"/>
          <w:noProof/>
          <w:sz w:val="24"/>
          <w:szCs w:val="24"/>
        </w:rPr>
      </w:pPr>
    </w:p>
    <w:p w14:paraId="790BC0A6" w14:textId="16734D03" w:rsidR="006E7F46" w:rsidRDefault="006E7F46" w:rsidP="006E7F46">
      <w:pPr>
        <w:jc w:val="both"/>
        <w:rPr>
          <w:rFonts w:ascii="Arial" w:hAnsi="Arial" w:cs="Arial"/>
          <w:noProof/>
          <w:sz w:val="24"/>
          <w:szCs w:val="24"/>
        </w:rPr>
      </w:pPr>
      <w:r>
        <w:rPr>
          <w:rFonts w:ascii="Arial" w:hAnsi="Arial" w:cs="Arial"/>
          <w:noProof/>
          <w:sz w:val="24"/>
          <w:szCs w:val="24"/>
        </w:rPr>
        <w:t xml:space="preserve">→ Putusan Mahkamah Agung Nomor </w:t>
      </w:r>
      <w:r w:rsidR="00A92DCE" w:rsidRPr="00A92DCE">
        <w:rPr>
          <w:rFonts w:ascii="Arial" w:hAnsi="Arial" w:cs="Arial"/>
          <w:noProof/>
          <w:sz w:val="24"/>
          <w:szCs w:val="24"/>
        </w:rPr>
        <w:t>464 K/TUN/2021, 30 November 2021</w:t>
      </w:r>
    </w:p>
    <w:p w14:paraId="52EA9977" w14:textId="4DC8325C" w:rsidR="006E7F46" w:rsidRDefault="006E7F46" w:rsidP="006E7F46">
      <w:pPr>
        <w:jc w:val="both"/>
      </w:pPr>
      <w:r>
        <w:rPr>
          <w:rFonts w:ascii="Arial" w:hAnsi="Arial" w:cs="Arial"/>
          <w:noProof/>
          <w:sz w:val="24"/>
          <w:szCs w:val="24"/>
        </w:rPr>
        <w:t xml:space="preserve">Sumber: </w:t>
      </w:r>
      <w:hyperlink r:id="rId4" w:history="1">
        <w:r w:rsidR="00A92DCE" w:rsidRPr="000514C7">
          <w:rPr>
            <w:rStyle w:val="Hyperlink"/>
            <w:rFonts w:ascii="Arial" w:hAnsi="Arial" w:cs="Arial"/>
            <w:noProof/>
            <w:sz w:val="24"/>
            <w:szCs w:val="24"/>
          </w:rPr>
          <w:t>https://putusan3.mahkamahagung.go.id/direktori/putusan/zaec93b10d7ae56e9410313432383338.html</w:t>
        </w:r>
      </w:hyperlink>
      <w:r w:rsidR="00A92DCE">
        <w:rPr>
          <w:rFonts w:ascii="Arial" w:hAnsi="Arial" w:cs="Arial"/>
          <w:noProof/>
          <w:sz w:val="24"/>
          <w:szCs w:val="24"/>
        </w:rPr>
        <w:t xml:space="preserve"> </w:t>
      </w:r>
    </w:p>
    <w:p w14:paraId="0D0E3922" w14:textId="77777777" w:rsidR="006E7F46" w:rsidRPr="00645E16" w:rsidRDefault="006E7F46" w:rsidP="006E7F46">
      <w:pPr>
        <w:spacing w:after="0"/>
        <w:jc w:val="both"/>
        <w:rPr>
          <w:rFonts w:ascii="Arial" w:hAnsi="Arial" w:cs="Arial"/>
          <w:sz w:val="24"/>
          <w:szCs w:val="24"/>
        </w:rPr>
      </w:pPr>
    </w:p>
    <w:p w14:paraId="75B28B17" w14:textId="77777777" w:rsidR="006E7F46" w:rsidRDefault="006E7F46" w:rsidP="006E7F46">
      <w:pPr>
        <w:spacing w:after="0"/>
        <w:jc w:val="both"/>
        <w:rPr>
          <w:rFonts w:ascii="Arial" w:hAnsi="Arial" w:cs="Arial"/>
          <w:noProof/>
          <w:sz w:val="24"/>
          <w:szCs w:val="24"/>
        </w:rPr>
      </w:pPr>
      <w:r>
        <w:rPr>
          <w:rFonts w:ascii="Arial" w:hAnsi="Arial" w:cs="Arial"/>
          <w:noProof/>
          <w:sz w:val="24"/>
          <w:szCs w:val="24"/>
        </w:rPr>
        <w:t>Salam Pengadaan,</w:t>
      </w:r>
    </w:p>
    <w:p w14:paraId="5D8EE4F8" w14:textId="77777777" w:rsidR="006E7F46" w:rsidRDefault="006E7F46" w:rsidP="006E7F46">
      <w:pPr>
        <w:spacing w:after="0"/>
        <w:jc w:val="both"/>
        <w:rPr>
          <w:rFonts w:ascii="Arial" w:hAnsi="Arial" w:cs="Arial"/>
          <w:noProof/>
          <w:sz w:val="24"/>
          <w:szCs w:val="24"/>
        </w:rPr>
      </w:pPr>
      <w:r>
        <w:rPr>
          <w:rFonts w:ascii="Arial" w:hAnsi="Arial" w:cs="Arial"/>
          <w:noProof/>
          <w:sz w:val="24"/>
          <w:szCs w:val="24"/>
        </w:rPr>
        <w:t>LBH Pengadaan Publik Indonesia</w:t>
      </w:r>
    </w:p>
    <w:p w14:paraId="4DF2E26C" w14:textId="77777777" w:rsidR="006E7F46" w:rsidRPr="00582485" w:rsidRDefault="006E7F46" w:rsidP="006E7F46">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01817875"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46"/>
    <w:rsid w:val="002509CB"/>
    <w:rsid w:val="00422ADC"/>
    <w:rsid w:val="004678CF"/>
    <w:rsid w:val="004E050F"/>
    <w:rsid w:val="00687D75"/>
    <w:rsid w:val="006E7F46"/>
    <w:rsid w:val="00776034"/>
    <w:rsid w:val="007C6969"/>
    <w:rsid w:val="00A92DCE"/>
    <w:rsid w:val="00D85A92"/>
    <w:rsid w:val="00E76C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47FA0"/>
  <w15:chartTrackingRefBased/>
  <w15:docId w15:val="{A8FCDEA1-FE56-43E8-851F-3931B627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6"/>
  </w:style>
  <w:style w:type="paragraph" w:styleId="Heading1">
    <w:name w:val="heading 1"/>
    <w:basedOn w:val="Normal"/>
    <w:next w:val="Normal"/>
    <w:link w:val="Heading1Char"/>
    <w:uiPriority w:val="9"/>
    <w:qFormat/>
    <w:rsid w:val="006E7F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7F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7F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7F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7F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7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F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7F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7F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7F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7F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7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F46"/>
    <w:rPr>
      <w:rFonts w:eastAsiaTheme="majorEastAsia" w:cstheme="majorBidi"/>
      <w:color w:val="272727" w:themeColor="text1" w:themeTint="D8"/>
    </w:rPr>
  </w:style>
  <w:style w:type="paragraph" w:styleId="Title">
    <w:name w:val="Title"/>
    <w:basedOn w:val="Normal"/>
    <w:next w:val="Normal"/>
    <w:link w:val="TitleChar"/>
    <w:uiPriority w:val="10"/>
    <w:qFormat/>
    <w:rsid w:val="006E7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F46"/>
    <w:pPr>
      <w:spacing w:before="160"/>
      <w:jc w:val="center"/>
    </w:pPr>
    <w:rPr>
      <w:i/>
      <w:iCs/>
      <w:color w:val="404040" w:themeColor="text1" w:themeTint="BF"/>
    </w:rPr>
  </w:style>
  <w:style w:type="character" w:customStyle="1" w:styleId="QuoteChar">
    <w:name w:val="Quote Char"/>
    <w:basedOn w:val="DefaultParagraphFont"/>
    <w:link w:val="Quote"/>
    <w:uiPriority w:val="29"/>
    <w:rsid w:val="006E7F46"/>
    <w:rPr>
      <w:i/>
      <w:iCs/>
      <w:color w:val="404040" w:themeColor="text1" w:themeTint="BF"/>
    </w:rPr>
  </w:style>
  <w:style w:type="paragraph" w:styleId="ListParagraph">
    <w:name w:val="List Paragraph"/>
    <w:basedOn w:val="Normal"/>
    <w:uiPriority w:val="34"/>
    <w:qFormat/>
    <w:rsid w:val="006E7F46"/>
    <w:pPr>
      <w:ind w:left="720"/>
      <w:contextualSpacing/>
    </w:pPr>
  </w:style>
  <w:style w:type="character" w:styleId="IntenseEmphasis">
    <w:name w:val="Intense Emphasis"/>
    <w:basedOn w:val="DefaultParagraphFont"/>
    <w:uiPriority w:val="21"/>
    <w:qFormat/>
    <w:rsid w:val="006E7F46"/>
    <w:rPr>
      <w:i/>
      <w:iCs/>
      <w:color w:val="2F5496" w:themeColor="accent1" w:themeShade="BF"/>
    </w:rPr>
  </w:style>
  <w:style w:type="paragraph" w:styleId="IntenseQuote">
    <w:name w:val="Intense Quote"/>
    <w:basedOn w:val="Normal"/>
    <w:next w:val="Normal"/>
    <w:link w:val="IntenseQuoteChar"/>
    <w:uiPriority w:val="30"/>
    <w:qFormat/>
    <w:rsid w:val="006E7F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7F46"/>
    <w:rPr>
      <w:i/>
      <w:iCs/>
      <w:color w:val="2F5496" w:themeColor="accent1" w:themeShade="BF"/>
    </w:rPr>
  </w:style>
  <w:style w:type="character" w:styleId="IntenseReference">
    <w:name w:val="Intense Reference"/>
    <w:basedOn w:val="DefaultParagraphFont"/>
    <w:uiPriority w:val="32"/>
    <w:qFormat/>
    <w:rsid w:val="006E7F46"/>
    <w:rPr>
      <w:b/>
      <w:bCs/>
      <w:smallCaps/>
      <w:color w:val="2F5496" w:themeColor="accent1" w:themeShade="BF"/>
      <w:spacing w:val="5"/>
    </w:rPr>
  </w:style>
  <w:style w:type="character" w:styleId="Hyperlink">
    <w:name w:val="Hyperlink"/>
    <w:basedOn w:val="DefaultParagraphFont"/>
    <w:uiPriority w:val="99"/>
    <w:unhideWhenUsed/>
    <w:rsid w:val="00A92DCE"/>
    <w:rPr>
      <w:color w:val="0563C1" w:themeColor="hyperlink"/>
      <w:u w:val="single"/>
    </w:rPr>
  </w:style>
  <w:style w:type="character" w:styleId="UnresolvedMention">
    <w:name w:val="Unresolved Mention"/>
    <w:basedOn w:val="DefaultParagraphFont"/>
    <w:uiPriority w:val="99"/>
    <w:semiHidden/>
    <w:unhideWhenUsed/>
    <w:rsid w:val="00A92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86719">
      <w:bodyDiv w:val="1"/>
      <w:marLeft w:val="0"/>
      <w:marRight w:val="0"/>
      <w:marTop w:val="0"/>
      <w:marBottom w:val="0"/>
      <w:divBdr>
        <w:top w:val="none" w:sz="0" w:space="0" w:color="auto"/>
        <w:left w:val="none" w:sz="0" w:space="0" w:color="auto"/>
        <w:bottom w:val="none" w:sz="0" w:space="0" w:color="auto"/>
        <w:right w:val="none" w:sz="0" w:space="0" w:color="auto"/>
      </w:divBdr>
    </w:div>
    <w:div w:id="270014241">
      <w:bodyDiv w:val="1"/>
      <w:marLeft w:val="0"/>
      <w:marRight w:val="0"/>
      <w:marTop w:val="0"/>
      <w:marBottom w:val="0"/>
      <w:divBdr>
        <w:top w:val="none" w:sz="0" w:space="0" w:color="auto"/>
        <w:left w:val="none" w:sz="0" w:space="0" w:color="auto"/>
        <w:bottom w:val="none" w:sz="0" w:space="0" w:color="auto"/>
        <w:right w:val="none" w:sz="0" w:space="0" w:color="auto"/>
      </w:divBdr>
    </w:div>
    <w:div w:id="578366240">
      <w:bodyDiv w:val="1"/>
      <w:marLeft w:val="0"/>
      <w:marRight w:val="0"/>
      <w:marTop w:val="0"/>
      <w:marBottom w:val="0"/>
      <w:divBdr>
        <w:top w:val="none" w:sz="0" w:space="0" w:color="auto"/>
        <w:left w:val="none" w:sz="0" w:space="0" w:color="auto"/>
        <w:bottom w:val="none" w:sz="0" w:space="0" w:color="auto"/>
        <w:right w:val="none" w:sz="0" w:space="0" w:color="auto"/>
      </w:divBdr>
    </w:div>
    <w:div w:id="199479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c93b10d7ae56e94103134323833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2</cp:revision>
  <dcterms:created xsi:type="dcterms:W3CDTF">2025-07-21T01:40:00Z</dcterms:created>
  <dcterms:modified xsi:type="dcterms:W3CDTF">2025-07-21T08:22:00Z</dcterms:modified>
</cp:coreProperties>
</file>