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2E4B0" w14:textId="77777777" w:rsidR="007D759C" w:rsidRDefault="007D759C" w:rsidP="007D759C">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76D356C1" w14:textId="441ED860" w:rsidR="007D759C" w:rsidRDefault="006D2B64" w:rsidP="007D759C">
      <w:pPr>
        <w:jc w:val="both"/>
        <w:rPr>
          <w:rFonts w:ascii="Arial" w:hAnsi="Arial" w:cs="Arial"/>
          <w:b/>
          <w:bCs/>
          <w:noProof/>
          <w:sz w:val="24"/>
          <w:szCs w:val="24"/>
        </w:rPr>
      </w:pPr>
      <w:r>
        <w:rPr>
          <w:rFonts w:ascii="Arial" w:hAnsi="Arial" w:cs="Arial"/>
          <w:b/>
          <w:bCs/>
          <w:noProof/>
          <w:sz w:val="24"/>
          <w:szCs w:val="24"/>
        </w:rPr>
        <w:t>Rabu</w:t>
      </w:r>
      <w:r w:rsidR="007D759C">
        <w:rPr>
          <w:rFonts w:ascii="Arial" w:hAnsi="Arial" w:cs="Arial"/>
          <w:b/>
          <w:bCs/>
          <w:noProof/>
          <w:sz w:val="24"/>
          <w:szCs w:val="24"/>
        </w:rPr>
        <w:t xml:space="preserve">, </w:t>
      </w:r>
      <w:r>
        <w:rPr>
          <w:rFonts w:ascii="Arial" w:hAnsi="Arial" w:cs="Arial"/>
          <w:b/>
          <w:bCs/>
          <w:noProof/>
          <w:sz w:val="24"/>
          <w:szCs w:val="24"/>
        </w:rPr>
        <w:t>20</w:t>
      </w:r>
      <w:r w:rsidR="007D759C">
        <w:rPr>
          <w:rFonts w:ascii="Arial" w:hAnsi="Arial" w:cs="Arial"/>
          <w:b/>
          <w:bCs/>
          <w:noProof/>
          <w:sz w:val="24"/>
          <w:szCs w:val="24"/>
        </w:rPr>
        <w:t xml:space="preserve"> Agustus 2025</w:t>
      </w:r>
    </w:p>
    <w:p w14:paraId="5CA9BFF0" w14:textId="079DCF00" w:rsidR="00506652" w:rsidRDefault="008333F5" w:rsidP="007D759C">
      <w:pPr>
        <w:jc w:val="both"/>
        <w:rPr>
          <w:rFonts w:ascii="Arial" w:hAnsi="Arial" w:cs="Arial"/>
          <w:b/>
          <w:bCs/>
          <w:noProof/>
          <w:sz w:val="24"/>
          <w:szCs w:val="24"/>
        </w:rPr>
      </w:pPr>
      <w:r>
        <w:rPr>
          <w:rFonts w:ascii="Arial" w:hAnsi="Arial" w:cs="Arial"/>
          <w:b/>
          <w:bCs/>
          <w:noProof/>
          <w:sz w:val="24"/>
          <w:szCs w:val="24"/>
        </w:rPr>
        <w:t xml:space="preserve">PERBUATAN MELANGGAR HUKUM OLEH BADAN ATAU PEJABAT TATA USAHA NEGARA </w:t>
      </w:r>
      <w:r w:rsidR="00D60A6D">
        <w:rPr>
          <w:rFonts w:ascii="Arial" w:hAnsi="Arial" w:cs="Arial"/>
          <w:b/>
          <w:bCs/>
          <w:noProof/>
          <w:sz w:val="24"/>
          <w:szCs w:val="24"/>
        </w:rPr>
        <w:t>BUKANLAH KEWENANGAN PENGADILAN UMUM MELAINKAN PENGADILAN TUN</w:t>
      </w:r>
    </w:p>
    <w:p w14:paraId="7C7BC1A8" w14:textId="5BF41E83" w:rsidR="00750777" w:rsidRDefault="00750777" w:rsidP="007D759C">
      <w:pPr>
        <w:jc w:val="both"/>
        <w:rPr>
          <w:rFonts w:ascii="Arial" w:hAnsi="Arial" w:cs="Arial"/>
          <w:noProof/>
          <w:sz w:val="24"/>
          <w:szCs w:val="24"/>
        </w:rPr>
      </w:pPr>
      <w:r w:rsidRPr="00750777">
        <w:rPr>
          <w:rFonts w:ascii="Arial" w:hAnsi="Arial" w:cs="Arial"/>
          <w:noProof/>
          <w:sz w:val="24"/>
          <w:szCs w:val="24"/>
        </w:rPr>
        <w:t>PT. Harum Jaya (Penggugat) mengajukan gugatan Perbuatan Melawan Hukum (PMH) ke PN Banda Aceh terhadap Pokja Pemilihan (Tergugat I) pada tender Lanjutan Pembangunan Gedung Kantor Sumber Dana APBD Aceh Tahun 2020 karena telah menggugurkan penawaran Penggugat.</w:t>
      </w:r>
    </w:p>
    <w:p w14:paraId="53FB272B" w14:textId="5047E953" w:rsidR="00750777" w:rsidRPr="00750777" w:rsidRDefault="00750777" w:rsidP="00750777">
      <w:pPr>
        <w:jc w:val="both"/>
        <w:rPr>
          <w:rFonts w:ascii="Arial" w:hAnsi="Arial" w:cs="Arial"/>
          <w:noProof/>
          <w:sz w:val="24"/>
          <w:szCs w:val="24"/>
        </w:rPr>
      </w:pPr>
      <w:r w:rsidRPr="00750777">
        <w:rPr>
          <w:rFonts w:ascii="Arial" w:hAnsi="Arial" w:cs="Arial"/>
          <w:noProof/>
          <w:sz w:val="24"/>
          <w:szCs w:val="24"/>
        </w:rPr>
        <w:t>Bentuk PMH yang dilakukan dinyatakan Penggugat dengan cara penyalahgunaan wewenang serta penyimpangan prosedur terhadap dasar</w:t>
      </w:r>
      <w:r>
        <w:rPr>
          <w:rFonts w:ascii="Arial" w:hAnsi="Arial" w:cs="Arial"/>
          <w:noProof/>
          <w:sz w:val="24"/>
          <w:szCs w:val="24"/>
        </w:rPr>
        <w:t xml:space="preserve"> </w:t>
      </w:r>
      <w:r w:rsidRPr="00750777">
        <w:rPr>
          <w:rFonts w:ascii="Arial" w:hAnsi="Arial" w:cs="Arial"/>
          <w:noProof/>
          <w:sz w:val="24"/>
          <w:szCs w:val="24"/>
        </w:rPr>
        <w:t>ketetapan keputusan di mana Tergugat bersikeras</w:t>
      </w:r>
      <w:r>
        <w:rPr>
          <w:rFonts w:ascii="Arial" w:hAnsi="Arial" w:cs="Arial"/>
          <w:noProof/>
          <w:sz w:val="24"/>
          <w:szCs w:val="24"/>
        </w:rPr>
        <w:t xml:space="preserve"> </w:t>
      </w:r>
      <w:r w:rsidRPr="00750777">
        <w:rPr>
          <w:rFonts w:ascii="Arial" w:hAnsi="Arial" w:cs="Arial"/>
          <w:noProof/>
          <w:sz w:val="24"/>
          <w:szCs w:val="24"/>
        </w:rPr>
        <w:t>menggunakan dalil</w:t>
      </w:r>
      <w:r>
        <w:rPr>
          <w:rFonts w:ascii="Arial" w:hAnsi="Arial" w:cs="Arial"/>
          <w:noProof/>
          <w:sz w:val="24"/>
          <w:szCs w:val="24"/>
        </w:rPr>
        <w:t xml:space="preserve"> </w:t>
      </w:r>
      <w:r w:rsidRPr="00750777">
        <w:rPr>
          <w:rFonts w:ascii="Arial" w:hAnsi="Arial" w:cs="Arial"/>
          <w:noProof/>
          <w:sz w:val="24"/>
          <w:szCs w:val="24"/>
        </w:rPr>
        <w:t>peraturan di luar</w:t>
      </w:r>
      <w:r>
        <w:rPr>
          <w:rFonts w:ascii="Arial" w:hAnsi="Arial" w:cs="Arial"/>
          <w:noProof/>
          <w:sz w:val="24"/>
          <w:szCs w:val="24"/>
        </w:rPr>
        <w:t xml:space="preserve"> </w:t>
      </w:r>
      <w:r w:rsidRPr="00750777">
        <w:rPr>
          <w:rFonts w:ascii="Arial" w:hAnsi="Arial" w:cs="Arial"/>
          <w:noProof/>
          <w:sz w:val="24"/>
          <w:szCs w:val="24"/>
        </w:rPr>
        <w:t>ketentuan yang</w:t>
      </w:r>
      <w:r>
        <w:rPr>
          <w:rFonts w:ascii="Arial" w:hAnsi="Arial" w:cs="Arial"/>
          <w:noProof/>
          <w:sz w:val="24"/>
          <w:szCs w:val="24"/>
        </w:rPr>
        <w:t xml:space="preserve"> </w:t>
      </w:r>
      <w:r w:rsidRPr="00750777">
        <w:rPr>
          <w:rFonts w:ascii="Arial" w:hAnsi="Arial" w:cs="Arial"/>
          <w:noProof/>
          <w:sz w:val="24"/>
          <w:szCs w:val="24"/>
        </w:rPr>
        <w:t>berlaku guna</w:t>
      </w:r>
      <w:r>
        <w:rPr>
          <w:rFonts w:ascii="Arial" w:hAnsi="Arial" w:cs="Arial"/>
          <w:noProof/>
          <w:sz w:val="24"/>
          <w:szCs w:val="24"/>
        </w:rPr>
        <w:t xml:space="preserve"> </w:t>
      </w:r>
      <w:r w:rsidRPr="00750777">
        <w:rPr>
          <w:rFonts w:ascii="Arial" w:hAnsi="Arial" w:cs="Arial"/>
          <w:noProof/>
          <w:sz w:val="24"/>
          <w:szCs w:val="24"/>
        </w:rPr>
        <w:t>memenangkan PT.</w:t>
      </w:r>
      <w:r>
        <w:rPr>
          <w:rFonts w:ascii="Arial" w:hAnsi="Arial" w:cs="Arial"/>
          <w:noProof/>
          <w:sz w:val="24"/>
          <w:szCs w:val="24"/>
        </w:rPr>
        <w:t xml:space="preserve"> </w:t>
      </w:r>
      <w:r w:rsidRPr="00750777">
        <w:rPr>
          <w:rFonts w:ascii="Arial" w:hAnsi="Arial" w:cs="Arial"/>
          <w:noProof/>
          <w:sz w:val="24"/>
          <w:szCs w:val="24"/>
        </w:rPr>
        <w:t>Putra Ananda yang</w:t>
      </w:r>
      <w:r>
        <w:rPr>
          <w:rFonts w:ascii="Arial" w:hAnsi="Arial" w:cs="Arial"/>
          <w:noProof/>
          <w:sz w:val="24"/>
          <w:szCs w:val="24"/>
        </w:rPr>
        <w:t xml:space="preserve"> </w:t>
      </w:r>
      <w:r w:rsidRPr="00750777">
        <w:rPr>
          <w:rFonts w:ascii="Arial" w:hAnsi="Arial" w:cs="Arial"/>
          <w:noProof/>
          <w:sz w:val="24"/>
          <w:szCs w:val="24"/>
        </w:rPr>
        <w:t>sangat diragukan</w:t>
      </w:r>
      <w:r>
        <w:rPr>
          <w:rFonts w:ascii="Arial" w:hAnsi="Arial" w:cs="Arial"/>
          <w:noProof/>
          <w:sz w:val="24"/>
          <w:szCs w:val="24"/>
        </w:rPr>
        <w:t xml:space="preserve"> </w:t>
      </w:r>
      <w:r w:rsidRPr="00750777">
        <w:rPr>
          <w:rFonts w:ascii="Arial" w:hAnsi="Arial" w:cs="Arial"/>
          <w:noProof/>
          <w:sz w:val="24"/>
          <w:szCs w:val="24"/>
        </w:rPr>
        <w:t>oleh Penggugat sebab</w:t>
      </w:r>
      <w:r>
        <w:rPr>
          <w:rFonts w:ascii="Arial" w:hAnsi="Arial" w:cs="Arial"/>
          <w:noProof/>
          <w:sz w:val="24"/>
          <w:szCs w:val="24"/>
        </w:rPr>
        <w:t xml:space="preserve"> </w:t>
      </w:r>
      <w:r w:rsidRPr="00750777">
        <w:rPr>
          <w:rFonts w:ascii="Arial" w:hAnsi="Arial" w:cs="Arial"/>
          <w:noProof/>
          <w:sz w:val="24"/>
          <w:szCs w:val="24"/>
        </w:rPr>
        <w:t>sebagai penawar tertinggi</w:t>
      </w:r>
      <w:r>
        <w:rPr>
          <w:rFonts w:ascii="Arial" w:hAnsi="Arial" w:cs="Arial"/>
          <w:noProof/>
          <w:sz w:val="24"/>
          <w:szCs w:val="24"/>
        </w:rPr>
        <w:t xml:space="preserve"> </w:t>
      </w:r>
      <w:r w:rsidRPr="00750777">
        <w:rPr>
          <w:rFonts w:ascii="Arial" w:hAnsi="Arial" w:cs="Arial"/>
          <w:noProof/>
          <w:sz w:val="24"/>
          <w:szCs w:val="24"/>
        </w:rPr>
        <w:t>serta laporan keuangannya</w:t>
      </w:r>
      <w:r>
        <w:rPr>
          <w:rFonts w:ascii="Arial" w:hAnsi="Arial" w:cs="Arial"/>
          <w:noProof/>
          <w:sz w:val="24"/>
          <w:szCs w:val="24"/>
        </w:rPr>
        <w:t xml:space="preserve"> </w:t>
      </w:r>
      <w:r w:rsidRPr="00750777">
        <w:rPr>
          <w:rFonts w:ascii="Arial" w:hAnsi="Arial" w:cs="Arial"/>
          <w:noProof/>
          <w:sz w:val="24"/>
          <w:szCs w:val="24"/>
        </w:rPr>
        <w:t>tidak diaudit berdasarkan</w:t>
      </w:r>
      <w:r>
        <w:rPr>
          <w:rFonts w:ascii="Arial" w:hAnsi="Arial" w:cs="Arial"/>
          <w:noProof/>
          <w:sz w:val="24"/>
          <w:szCs w:val="24"/>
        </w:rPr>
        <w:t xml:space="preserve"> </w:t>
      </w:r>
      <w:r w:rsidRPr="00750777">
        <w:rPr>
          <w:rFonts w:ascii="Arial" w:hAnsi="Arial" w:cs="Arial"/>
          <w:noProof/>
          <w:sz w:val="24"/>
          <w:szCs w:val="24"/>
        </w:rPr>
        <w:t>Standar Pemeriksaan</w:t>
      </w:r>
      <w:r>
        <w:rPr>
          <w:rFonts w:ascii="Arial" w:hAnsi="Arial" w:cs="Arial"/>
          <w:noProof/>
          <w:sz w:val="24"/>
          <w:szCs w:val="24"/>
        </w:rPr>
        <w:t xml:space="preserve"> </w:t>
      </w:r>
      <w:r w:rsidRPr="00750777">
        <w:rPr>
          <w:rFonts w:ascii="Arial" w:hAnsi="Arial" w:cs="Arial"/>
          <w:noProof/>
          <w:sz w:val="24"/>
          <w:szCs w:val="24"/>
        </w:rPr>
        <w:t>Akuntan Publik (SPAP).</w:t>
      </w:r>
    </w:p>
    <w:p w14:paraId="498F8B3E" w14:textId="41FEB6C9" w:rsidR="00750777" w:rsidRPr="00750777" w:rsidRDefault="00750777" w:rsidP="00750777">
      <w:pPr>
        <w:jc w:val="both"/>
        <w:rPr>
          <w:rFonts w:ascii="Arial" w:hAnsi="Arial" w:cs="Arial"/>
          <w:noProof/>
          <w:sz w:val="24"/>
          <w:szCs w:val="24"/>
        </w:rPr>
      </w:pPr>
      <w:r w:rsidRPr="00750777">
        <w:rPr>
          <w:rFonts w:ascii="Arial" w:hAnsi="Arial" w:cs="Arial"/>
          <w:noProof/>
          <w:sz w:val="24"/>
          <w:szCs w:val="24"/>
        </w:rPr>
        <w:t>Penggugat telah melakukan upaya sanggah terhadap Berita Acara Hasil Pemilihan (BAHP)</w:t>
      </w:r>
      <w:r>
        <w:rPr>
          <w:rFonts w:ascii="Arial" w:hAnsi="Arial" w:cs="Arial"/>
          <w:noProof/>
          <w:sz w:val="24"/>
          <w:szCs w:val="24"/>
        </w:rPr>
        <w:t xml:space="preserve"> </w:t>
      </w:r>
      <w:r w:rsidRPr="00750777">
        <w:rPr>
          <w:rFonts w:ascii="Arial" w:hAnsi="Arial" w:cs="Arial"/>
          <w:noProof/>
          <w:sz w:val="24"/>
          <w:szCs w:val="24"/>
        </w:rPr>
        <w:t>kepada Tergugat I dengan jawaban</w:t>
      </w:r>
      <w:r>
        <w:rPr>
          <w:rFonts w:ascii="Arial" w:hAnsi="Arial" w:cs="Arial"/>
          <w:noProof/>
          <w:sz w:val="24"/>
          <w:szCs w:val="24"/>
        </w:rPr>
        <w:t xml:space="preserve"> </w:t>
      </w:r>
      <w:r w:rsidRPr="00750777">
        <w:rPr>
          <w:rFonts w:ascii="Arial" w:hAnsi="Arial" w:cs="Arial"/>
          <w:noProof/>
          <w:sz w:val="24"/>
          <w:szCs w:val="24"/>
        </w:rPr>
        <w:t>menolak sanggah.</w:t>
      </w:r>
      <w:r>
        <w:rPr>
          <w:rFonts w:ascii="Arial" w:hAnsi="Arial" w:cs="Arial"/>
          <w:noProof/>
          <w:sz w:val="24"/>
          <w:szCs w:val="24"/>
        </w:rPr>
        <w:t xml:space="preserve"> </w:t>
      </w:r>
      <w:r w:rsidRPr="00750777">
        <w:rPr>
          <w:rFonts w:ascii="Arial" w:hAnsi="Arial" w:cs="Arial"/>
          <w:noProof/>
          <w:sz w:val="24"/>
          <w:szCs w:val="24"/>
        </w:rPr>
        <w:t>Begitu juga dengan upaya sanggah banding beserta jaminan yang ditujukan kepada KPA yang merangkap sebagai PPK Dinas Penanaman Modal dan Pelayanan Satu Pintu Aceh (Tergugat II) dengan jawaban menolak sanggah banding, di mana hal ini dinyatakan Penggugat telah merugikannya.</w:t>
      </w:r>
    </w:p>
    <w:p w14:paraId="5430E573" w14:textId="27F6DCDC" w:rsidR="00750777" w:rsidRPr="00750777" w:rsidRDefault="00750777" w:rsidP="00750777">
      <w:pPr>
        <w:jc w:val="both"/>
        <w:rPr>
          <w:rFonts w:ascii="Arial" w:hAnsi="Arial" w:cs="Arial"/>
          <w:noProof/>
          <w:sz w:val="24"/>
          <w:szCs w:val="24"/>
        </w:rPr>
      </w:pPr>
      <w:r w:rsidRPr="00750777">
        <w:rPr>
          <w:rFonts w:ascii="Arial" w:hAnsi="Arial" w:cs="Arial"/>
          <w:noProof/>
          <w:sz w:val="24"/>
          <w:szCs w:val="24"/>
        </w:rPr>
        <w:t>Majelis Hakim PN Banda Aceh yang memeriksa perkara melakukan Putusan Sela terkait Kewenangan Absolut dan menyatakan tidak berwenang dalam mengadili perkara</w:t>
      </w:r>
      <w:r>
        <w:rPr>
          <w:rFonts w:ascii="Arial" w:hAnsi="Arial" w:cs="Arial"/>
          <w:noProof/>
          <w:sz w:val="24"/>
          <w:szCs w:val="24"/>
        </w:rPr>
        <w:t xml:space="preserve"> </w:t>
      </w:r>
      <w:r w:rsidRPr="00750777">
        <w:rPr>
          <w:rFonts w:ascii="Arial" w:hAnsi="Arial" w:cs="Arial"/>
          <w:noProof/>
          <w:sz w:val="24"/>
          <w:szCs w:val="24"/>
        </w:rPr>
        <w:t>dengan pertimbangan bahwa Tergugat merupakan suatu Badan atau Pejabat Tata Usaha Negara dengan BAHP dalam perkara ini sebagai</w:t>
      </w:r>
      <w:r w:rsidRPr="00750777">
        <w:rPr>
          <w:rFonts w:ascii="Arial" w:hAnsi="Arial" w:cs="Arial"/>
          <w:noProof/>
          <w:sz w:val="24"/>
          <w:szCs w:val="24"/>
        </w:rPr>
        <w:t xml:space="preserve"> </w:t>
      </w:r>
      <w:r w:rsidRPr="00750777">
        <w:rPr>
          <w:rFonts w:ascii="Arial" w:hAnsi="Arial" w:cs="Arial"/>
          <w:noProof/>
          <w:sz w:val="24"/>
          <w:szCs w:val="24"/>
        </w:rPr>
        <w:t>produk kerjanya.</w:t>
      </w:r>
    </w:p>
    <w:p w14:paraId="11C2A68D" w14:textId="05828148" w:rsidR="00750777" w:rsidRPr="00750777" w:rsidRDefault="00750777" w:rsidP="00750777">
      <w:pPr>
        <w:jc w:val="both"/>
        <w:rPr>
          <w:rFonts w:ascii="Arial" w:hAnsi="Arial" w:cs="Arial"/>
          <w:noProof/>
          <w:sz w:val="24"/>
          <w:szCs w:val="24"/>
        </w:rPr>
      </w:pPr>
      <w:r w:rsidRPr="00750777">
        <w:rPr>
          <w:rFonts w:ascii="Arial" w:hAnsi="Arial" w:cs="Arial"/>
          <w:noProof/>
          <w:sz w:val="24"/>
          <w:szCs w:val="24"/>
        </w:rPr>
        <w:t>Pada tingkat banding di PT Banda Aceh, Majelis menimbang dengan merujuk pada Pasal 1 angka 12 dan Pasal 13 Perpres 16 Tahun 2018 tentang Pengadaan Barang/Jasa Pemerintah dan menyimpulkan bahwa Pokja Pemilihan bukanlah suatu badan atau pejabat,</w:t>
      </w:r>
      <w:r>
        <w:rPr>
          <w:rFonts w:ascii="Arial" w:hAnsi="Arial" w:cs="Arial"/>
          <w:noProof/>
          <w:sz w:val="24"/>
          <w:szCs w:val="24"/>
        </w:rPr>
        <w:t xml:space="preserve"> </w:t>
      </w:r>
      <w:r w:rsidRPr="00750777">
        <w:rPr>
          <w:rFonts w:ascii="Arial" w:hAnsi="Arial" w:cs="Arial"/>
          <w:noProof/>
          <w:sz w:val="24"/>
          <w:szCs w:val="24"/>
        </w:rPr>
        <w:t xml:space="preserve">melainkan sekelompok orang minimal berjumlah 3 atau lebih sepanjang gasal sebagai “panitia” yang ditunjuk oleh Pimpinan UKPBJ untuk melakukan pemilihan Penyedia. </w:t>
      </w:r>
    </w:p>
    <w:p w14:paraId="44A08DCB" w14:textId="53FF4FD4" w:rsidR="00750777" w:rsidRPr="00750777" w:rsidRDefault="00750777" w:rsidP="00750777">
      <w:pPr>
        <w:jc w:val="both"/>
        <w:rPr>
          <w:rFonts w:ascii="Arial" w:hAnsi="Arial" w:cs="Arial"/>
          <w:noProof/>
          <w:sz w:val="24"/>
          <w:szCs w:val="24"/>
        </w:rPr>
      </w:pPr>
      <w:r w:rsidRPr="00750777">
        <w:rPr>
          <w:rFonts w:ascii="Arial" w:hAnsi="Arial" w:cs="Arial"/>
          <w:noProof/>
          <w:sz w:val="24"/>
          <w:szCs w:val="24"/>
        </w:rPr>
        <w:t>Majelis juga menimbang bahwa penetapan pemenang oleh Pokja Pemilihan tidaklah bersifat final untuk menjadi sebuah keputusan TUN sebagaimana ketentuan Pasal 1 angka 9 UU Peradilan TUN karena yang bersifat final adalah Surat Penunjukan Penyedia Barang/Jasa (SPPBJ) oleh PPK.</w:t>
      </w:r>
      <w:r>
        <w:rPr>
          <w:rFonts w:ascii="Arial" w:hAnsi="Arial" w:cs="Arial"/>
          <w:noProof/>
          <w:sz w:val="24"/>
          <w:szCs w:val="24"/>
        </w:rPr>
        <w:t xml:space="preserve"> </w:t>
      </w:r>
      <w:r w:rsidRPr="00750777">
        <w:rPr>
          <w:rFonts w:ascii="Arial" w:hAnsi="Arial" w:cs="Arial"/>
          <w:noProof/>
          <w:sz w:val="24"/>
          <w:szCs w:val="24"/>
        </w:rPr>
        <w:t xml:space="preserve">Dengan dasar ini, Majelis membatalkan Putusan Sela PN Banda Aceh tersebut dan memerintahkan PN Banda Aceh untuk melanjutkan pemeriksaan terhadap pokok perkara. </w:t>
      </w:r>
    </w:p>
    <w:p w14:paraId="38B79AAC" w14:textId="0EE5D24C" w:rsidR="00750777" w:rsidRDefault="00750777" w:rsidP="007D759C">
      <w:pPr>
        <w:jc w:val="both"/>
        <w:rPr>
          <w:rFonts w:ascii="Arial" w:hAnsi="Arial" w:cs="Arial"/>
          <w:noProof/>
          <w:sz w:val="24"/>
          <w:szCs w:val="24"/>
        </w:rPr>
      </w:pPr>
      <w:r w:rsidRPr="00750777">
        <w:rPr>
          <w:rFonts w:ascii="Arial" w:hAnsi="Arial" w:cs="Arial"/>
          <w:noProof/>
          <w:sz w:val="24"/>
          <w:szCs w:val="24"/>
        </w:rPr>
        <w:t>Pada tingkat kasasi, Majelis Hakim Agung menimbang bahwa Judex Facti PT Banda Aceh yang membatalkan Putusan Sela PN Banda Aceh telah salah dalam penerapan hukum karena dalil gugatan Penggugat pada pokoknya adalah PMH yang dilakukan oleh Para Tergugat yang semuanya merupakan pejabat pemerintahan.</w:t>
      </w:r>
    </w:p>
    <w:p w14:paraId="35004958" w14:textId="7D1DE0F6" w:rsidR="00750777" w:rsidRDefault="002370BC" w:rsidP="007D759C">
      <w:pPr>
        <w:jc w:val="both"/>
        <w:rPr>
          <w:rFonts w:ascii="Arial" w:hAnsi="Arial" w:cs="Arial"/>
          <w:noProof/>
          <w:sz w:val="24"/>
          <w:szCs w:val="24"/>
        </w:rPr>
      </w:pPr>
      <w:r w:rsidRPr="002370BC">
        <w:rPr>
          <w:rFonts w:ascii="Arial" w:hAnsi="Arial" w:cs="Arial"/>
          <w:noProof/>
          <w:sz w:val="24"/>
          <w:szCs w:val="24"/>
        </w:rPr>
        <w:lastRenderedPageBreak/>
        <w:t xml:space="preserve">Hal ini berdasarkan UU No. 30 Tahun 2014 tentang Administrasi Pemerintahan dan Peraturan MA No. 2 Tahun 2019 tentang Pedoman Penyelesaian Sengketa Tindakan Pemerintahan dan Kewenangan Mengadili Perbuatan Melanggar Hukum oleh Badan </w:t>
      </w:r>
      <w:r>
        <w:rPr>
          <w:rFonts w:ascii="Arial" w:hAnsi="Arial" w:cs="Arial"/>
          <w:noProof/>
          <w:sz w:val="24"/>
          <w:szCs w:val="24"/>
        </w:rPr>
        <w:t xml:space="preserve"> </w:t>
      </w:r>
      <w:r w:rsidRPr="002370BC">
        <w:rPr>
          <w:rFonts w:ascii="Arial" w:hAnsi="Arial" w:cs="Arial"/>
          <w:noProof/>
          <w:sz w:val="24"/>
          <w:szCs w:val="24"/>
        </w:rPr>
        <w:t>dan/atau Pejabat Pemerintahan</w:t>
      </w:r>
      <w:r>
        <w:rPr>
          <w:rFonts w:ascii="Arial" w:hAnsi="Arial" w:cs="Arial"/>
          <w:noProof/>
          <w:sz w:val="24"/>
          <w:szCs w:val="24"/>
        </w:rPr>
        <w:t xml:space="preserve"> </w:t>
      </w:r>
      <w:r w:rsidRPr="002370BC">
        <w:rPr>
          <w:rFonts w:ascii="Arial" w:hAnsi="Arial" w:cs="Arial"/>
          <w:noProof/>
          <w:sz w:val="24"/>
          <w:szCs w:val="24"/>
        </w:rPr>
        <w:t>(</w:t>
      </w:r>
      <w:r w:rsidRPr="002370BC">
        <w:rPr>
          <w:rFonts w:ascii="Arial" w:hAnsi="Arial" w:cs="Arial"/>
          <w:i/>
          <w:iCs/>
          <w:noProof/>
          <w:sz w:val="24"/>
          <w:szCs w:val="24"/>
        </w:rPr>
        <w:t>Onrechtmatige Overheidsdaad</w:t>
      </w:r>
      <w:r w:rsidRPr="002370BC">
        <w:rPr>
          <w:rFonts w:ascii="Arial" w:hAnsi="Arial" w:cs="Arial"/>
          <w:noProof/>
          <w:sz w:val="24"/>
          <w:szCs w:val="24"/>
        </w:rPr>
        <w:t xml:space="preserve">) menjadi kewenangan Pengadilan TUN dan bukan Peradilan Umum, sehingga dalam putusan Majelis Hakim Agung membatalkan Putusan PT Banda Aceh dan menyatakan PN Banda Aceh tidak berwenang mengadili perkara. </w:t>
      </w:r>
    </w:p>
    <w:p w14:paraId="4E2D986C" w14:textId="77777777" w:rsidR="002370BC" w:rsidRDefault="002370BC" w:rsidP="007D759C">
      <w:pPr>
        <w:jc w:val="both"/>
        <w:rPr>
          <w:rFonts w:ascii="Arial" w:hAnsi="Arial" w:cs="Arial"/>
          <w:noProof/>
          <w:sz w:val="24"/>
          <w:szCs w:val="24"/>
        </w:rPr>
      </w:pPr>
    </w:p>
    <w:p w14:paraId="2F8EFB69" w14:textId="443B60E0" w:rsidR="007D759C" w:rsidRDefault="007D759C" w:rsidP="007D759C">
      <w:pPr>
        <w:jc w:val="both"/>
        <w:rPr>
          <w:rFonts w:ascii="Arial" w:hAnsi="Arial" w:cs="Arial"/>
          <w:noProof/>
          <w:sz w:val="24"/>
          <w:szCs w:val="24"/>
        </w:rPr>
      </w:pPr>
      <w:r>
        <w:rPr>
          <w:rFonts w:ascii="Arial" w:hAnsi="Arial" w:cs="Arial"/>
          <w:noProof/>
          <w:sz w:val="24"/>
          <w:szCs w:val="24"/>
        </w:rPr>
        <w:t xml:space="preserve">→ Putusan Mahkamah Agung Nomor </w:t>
      </w:r>
      <w:r w:rsidR="0057342F">
        <w:rPr>
          <w:rFonts w:ascii="Arial" w:hAnsi="Arial" w:cs="Arial"/>
          <w:noProof/>
          <w:sz w:val="24"/>
          <w:szCs w:val="24"/>
        </w:rPr>
        <w:t>2703 K/Pdt/2022, Tanggal 29 Agustus 2022</w:t>
      </w:r>
    </w:p>
    <w:p w14:paraId="2CEBA6AE" w14:textId="0484FD2C" w:rsidR="0057342F" w:rsidRPr="00645E16" w:rsidRDefault="007D759C" w:rsidP="0057342F">
      <w:pPr>
        <w:jc w:val="both"/>
        <w:rPr>
          <w:rFonts w:ascii="Arial" w:hAnsi="Arial" w:cs="Arial"/>
          <w:noProof/>
          <w:sz w:val="24"/>
          <w:szCs w:val="24"/>
        </w:rPr>
      </w:pPr>
      <w:r>
        <w:rPr>
          <w:rFonts w:ascii="Arial" w:hAnsi="Arial" w:cs="Arial"/>
          <w:noProof/>
          <w:sz w:val="24"/>
          <w:szCs w:val="24"/>
        </w:rPr>
        <w:t xml:space="preserve">Sumber: </w:t>
      </w:r>
      <w:hyperlink r:id="rId4" w:history="1">
        <w:r w:rsidR="0057342F" w:rsidRPr="00315090">
          <w:rPr>
            <w:rStyle w:val="Hyperlink"/>
            <w:rFonts w:ascii="Arial" w:hAnsi="Arial" w:cs="Arial"/>
            <w:sz w:val="24"/>
            <w:szCs w:val="24"/>
          </w:rPr>
          <w:t>https://putusan3.mahkamahagung.go.id/direktori/putusan/zaebcd89f1df3140a842313032393531.html</w:t>
        </w:r>
      </w:hyperlink>
      <w:r w:rsidR="0057342F">
        <w:rPr>
          <w:rFonts w:ascii="Arial" w:hAnsi="Arial" w:cs="Arial"/>
          <w:sz w:val="24"/>
          <w:szCs w:val="24"/>
        </w:rPr>
        <w:t xml:space="preserve"> </w:t>
      </w:r>
    </w:p>
    <w:p w14:paraId="36F84B24" w14:textId="77777777" w:rsidR="007D759C" w:rsidRDefault="007D759C" w:rsidP="007D759C">
      <w:pPr>
        <w:spacing w:after="0"/>
        <w:jc w:val="both"/>
        <w:rPr>
          <w:rFonts w:ascii="Arial" w:hAnsi="Arial" w:cs="Arial"/>
          <w:noProof/>
          <w:sz w:val="24"/>
          <w:szCs w:val="24"/>
        </w:rPr>
      </w:pPr>
      <w:r>
        <w:rPr>
          <w:rFonts w:ascii="Arial" w:hAnsi="Arial" w:cs="Arial"/>
          <w:noProof/>
          <w:sz w:val="24"/>
          <w:szCs w:val="24"/>
        </w:rPr>
        <w:t>Salam Pengadaan,</w:t>
      </w:r>
    </w:p>
    <w:p w14:paraId="6E676F01" w14:textId="77777777" w:rsidR="007D759C" w:rsidRDefault="007D759C" w:rsidP="007D759C">
      <w:pPr>
        <w:spacing w:after="0"/>
        <w:jc w:val="both"/>
        <w:rPr>
          <w:rFonts w:ascii="Arial" w:hAnsi="Arial" w:cs="Arial"/>
          <w:noProof/>
          <w:sz w:val="24"/>
          <w:szCs w:val="24"/>
        </w:rPr>
      </w:pPr>
      <w:r>
        <w:rPr>
          <w:rFonts w:ascii="Arial" w:hAnsi="Arial" w:cs="Arial"/>
          <w:noProof/>
          <w:sz w:val="24"/>
          <w:szCs w:val="24"/>
        </w:rPr>
        <w:t>LBH Pengadaan Publik Indonesia</w:t>
      </w:r>
    </w:p>
    <w:p w14:paraId="519703B4" w14:textId="12C9990C" w:rsidR="007C6969" w:rsidRPr="0059337A" w:rsidRDefault="007D759C" w:rsidP="0059337A">
      <w:pPr>
        <w:spacing w:after="0"/>
        <w:jc w:val="both"/>
        <w:rPr>
          <w:rFonts w:ascii="Arial" w:hAnsi="Arial" w:cs="Arial"/>
          <w:noProof/>
          <w:sz w:val="24"/>
          <w:szCs w:val="24"/>
        </w:rPr>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sectPr w:rsidR="007C6969" w:rsidRPr="005933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59C"/>
    <w:rsid w:val="00092AFE"/>
    <w:rsid w:val="001C0794"/>
    <w:rsid w:val="00207BEC"/>
    <w:rsid w:val="002370BC"/>
    <w:rsid w:val="00422ADC"/>
    <w:rsid w:val="00477154"/>
    <w:rsid w:val="00506652"/>
    <w:rsid w:val="00562904"/>
    <w:rsid w:val="00572177"/>
    <w:rsid w:val="0057342F"/>
    <w:rsid w:val="0059337A"/>
    <w:rsid w:val="006D2B64"/>
    <w:rsid w:val="00750777"/>
    <w:rsid w:val="00776034"/>
    <w:rsid w:val="007C6969"/>
    <w:rsid w:val="007D759C"/>
    <w:rsid w:val="008333F5"/>
    <w:rsid w:val="00855EA3"/>
    <w:rsid w:val="00900097"/>
    <w:rsid w:val="00925817"/>
    <w:rsid w:val="00B84C67"/>
    <w:rsid w:val="00BD7838"/>
    <w:rsid w:val="00D60A6D"/>
    <w:rsid w:val="00EE5375"/>
    <w:rsid w:val="00EE6FFB"/>
    <w:rsid w:val="00FD649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A2D4D"/>
  <w15:chartTrackingRefBased/>
  <w15:docId w15:val="{35D9281B-98E8-4224-B3B9-024289E8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59C"/>
  </w:style>
  <w:style w:type="paragraph" w:styleId="Heading1">
    <w:name w:val="heading 1"/>
    <w:basedOn w:val="Normal"/>
    <w:next w:val="Normal"/>
    <w:link w:val="Heading1Char"/>
    <w:uiPriority w:val="9"/>
    <w:qFormat/>
    <w:rsid w:val="007D759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D759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D759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D759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D759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D75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75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75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75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759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D759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D759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D759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D759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D75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75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75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759C"/>
    <w:rPr>
      <w:rFonts w:eastAsiaTheme="majorEastAsia" w:cstheme="majorBidi"/>
      <w:color w:val="272727" w:themeColor="text1" w:themeTint="D8"/>
    </w:rPr>
  </w:style>
  <w:style w:type="paragraph" w:styleId="Title">
    <w:name w:val="Title"/>
    <w:basedOn w:val="Normal"/>
    <w:next w:val="Normal"/>
    <w:link w:val="TitleChar"/>
    <w:uiPriority w:val="10"/>
    <w:qFormat/>
    <w:rsid w:val="007D75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75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75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75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759C"/>
    <w:pPr>
      <w:spacing w:before="160"/>
      <w:jc w:val="center"/>
    </w:pPr>
    <w:rPr>
      <w:i/>
      <w:iCs/>
      <w:color w:val="404040" w:themeColor="text1" w:themeTint="BF"/>
    </w:rPr>
  </w:style>
  <w:style w:type="character" w:customStyle="1" w:styleId="QuoteChar">
    <w:name w:val="Quote Char"/>
    <w:basedOn w:val="DefaultParagraphFont"/>
    <w:link w:val="Quote"/>
    <w:uiPriority w:val="29"/>
    <w:rsid w:val="007D759C"/>
    <w:rPr>
      <w:i/>
      <w:iCs/>
      <w:color w:val="404040" w:themeColor="text1" w:themeTint="BF"/>
    </w:rPr>
  </w:style>
  <w:style w:type="paragraph" w:styleId="ListParagraph">
    <w:name w:val="List Paragraph"/>
    <w:basedOn w:val="Normal"/>
    <w:uiPriority w:val="34"/>
    <w:qFormat/>
    <w:rsid w:val="007D759C"/>
    <w:pPr>
      <w:ind w:left="720"/>
      <w:contextualSpacing/>
    </w:pPr>
  </w:style>
  <w:style w:type="character" w:styleId="IntenseEmphasis">
    <w:name w:val="Intense Emphasis"/>
    <w:basedOn w:val="DefaultParagraphFont"/>
    <w:uiPriority w:val="21"/>
    <w:qFormat/>
    <w:rsid w:val="007D759C"/>
    <w:rPr>
      <w:i/>
      <w:iCs/>
      <w:color w:val="2F5496" w:themeColor="accent1" w:themeShade="BF"/>
    </w:rPr>
  </w:style>
  <w:style w:type="paragraph" w:styleId="IntenseQuote">
    <w:name w:val="Intense Quote"/>
    <w:basedOn w:val="Normal"/>
    <w:next w:val="Normal"/>
    <w:link w:val="IntenseQuoteChar"/>
    <w:uiPriority w:val="30"/>
    <w:qFormat/>
    <w:rsid w:val="007D75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D759C"/>
    <w:rPr>
      <w:i/>
      <w:iCs/>
      <w:color w:val="2F5496" w:themeColor="accent1" w:themeShade="BF"/>
    </w:rPr>
  </w:style>
  <w:style w:type="character" w:styleId="IntenseReference">
    <w:name w:val="Intense Reference"/>
    <w:basedOn w:val="DefaultParagraphFont"/>
    <w:uiPriority w:val="32"/>
    <w:qFormat/>
    <w:rsid w:val="007D759C"/>
    <w:rPr>
      <w:b/>
      <w:bCs/>
      <w:smallCaps/>
      <w:color w:val="2F5496" w:themeColor="accent1" w:themeShade="BF"/>
      <w:spacing w:val="5"/>
    </w:rPr>
  </w:style>
  <w:style w:type="character" w:styleId="Hyperlink">
    <w:name w:val="Hyperlink"/>
    <w:basedOn w:val="DefaultParagraphFont"/>
    <w:uiPriority w:val="99"/>
    <w:unhideWhenUsed/>
    <w:rsid w:val="007D759C"/>
    <w:rPr>
      <w:color w:val="0563C1" w:themeColor="hyperlink"/>
      <w:u w:val="single"/>
    </w:rPr>
  </w:style>
  <w:style w:type="character" w:styleId="UnresolvedMention">
    <w:name w:val="Unresolved Mention"/>
    <w:basedOn w:val="DefaultParagraphFont"/>
    <w:uiPriority w:val="99"/>
    <w:semiHidden/>
    <w:unhideWhenUsed/>
    <w:rsid w:val="00506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bcd89f1df3140a84231303239353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457</TotalTime>
  <Pages>2</Pages>
  <Words>533</Words>
  <Characters>3040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2025-08-19T03:10:00Z</dcterms:created>
  <dcterms:modified xsi:type="dcterms:W3CDTF">2025-08-20T10:12:00Z</dcterms:modified>
</cp:coreProperties>
</file>