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49E53" w14:textId="77777777" w:rsidR="007861ED" w:rsidRDefault="007861ED" w:rsidP="007861ED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073ABE15" w14:textId="52EAFE4F" w:rsidR="007861ED" w:rsidRDefault="00230B12" w:rsidP="00E71378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Jumat</w:t>
      </w:r>
      <w:r w:rsidR="007861ED">
        <w:rPr>
          <w:rFonts w:ascii="Arial" w:hAnsi="Arial" w:cs="Arial"/>
          <w:b/>
          <w:bCs/>
          <w:noProof/>
          <w:sz w:val="24"/>
          <w:szCs w:val="24"/>
        </w:rPr>
        <w:t>, 1</w:t>
      </w:r>
      <w:r>
        <w:rPr>
          <w:rFonts w:ascii="Arial" w:hAnsi="Arial" w:cs="Arial"/>
          <w:b/>
          <w:bCs/>
          <w:noProof/>
          <w:sz w:val="24"/>
          <w:szCs w:val="24"/>
        </w:rPr>
        <w:t>9</w:t>
      </w:r>
      <w:r w:rsidR="007861ED">
        <w:rPr>
          <w:rFonts w:ascii="Arial" w:hAnsi="Arial" w:cs="Arial"/>
          <w:b/>
          <w:bCs/>
          <w:noProof/>
          <w:sz w:val="24"/>
          <w:szCs w:val="24"/>
        </w:rPr>
        <w:t xml:space="preserve"> September 2025</w:t>
      </w:r>
    </w:p>
    <w:p w14:paraId="247C6BB9" w14:textId="2FF76C3E" w:rsidR="007861ED" w:rsidRPr="009653E0" w:rsidRDefault="009653E0" w:rsidP="00E71378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PENGADILAN NEGERI </w:t>
      </w:r>
      <w:r w:rsidR="005E65F9">
        <w:rPr>
          <w:rFonts w:ascii="Arial" w:hAnsi="Arial" w:cs="Arial"/>
          <w:b/>
          <w:bCs/>
          <w:noProof/>
          <w:sz w:val="24"/>
          <w:szCs w:val="24"/>
        </w:rPr>
        <w:t xml:space="preserve">MEMUTUS 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TIDAK </w:t>
      </w:r>
      <w:r w:rsidR="005E65F9">
        <w:rPr>
          <w:rFonts w:ascii="Arial" w:hAnsi="Arial" w:cs="Arial"/>
          <w:b/>
          <w:bCs/>
          <w:noProof/>
          <w:sz w:val="24"/>
          <w:szCs w:val="24"/>
        </w:rPr>
        <w:t xml:space="preserve">DAPAT 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MENERIMA GUGATAN </w:t>
      </w:r>
      <w:r w:rsidR="00E71378">
        <w:rPr>
          <w:rFonts w:ascii="Arial" w:hAnsi="Arial" w:cs="Arial"/>
          <w:b/>
          <w:bCs/>
          <w:noProof/>
          <w:sz w:val="24"/>
          <w:szCs w:val="24"/>
        </w:rPr>
        <w:t>PESERTA TENDER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5E65F9">
        <w:rPr>
          <w:rFonts w:ascii="Arial" w:hAnsi="Arial" w:cs="Arial"/>
          <w:b/>
          <w:bCs/>
          <w:noProof/>
          <w:sz w:val="24"/>
          <w:szCs w:val="24"/>
        </w:rPr>
        <w:t>TERKAIT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PERBUATAN PEJABAT TATA USAHA NEGARA YANG MENAMBAHKAN PERSYARATAN TEKNIS PADA DOKUMEN PEMILIHAN </w:t>
      </w:r>
      <w:r w:rsidR="00E71378">
        <w:rPr>
          <w:rFonts w:ascii="Arial" w:hAnsi="Arial" w:cs="Arial"/>
          <w:b/>
          <w:bCs/>
          <w:noProof/>
          <w:sz w:val="24"/>
          <w:szCs w:val="24"/>
        </w:rPr>
        <w:t>PENGADAAN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10125849" w14:textId="3A5DE8D2" w:rsidR="00513DD7" w:rsidRDefault="007861ED" w:rsidP="007861E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CV. Ingat Mati (Penggugat) yang bergerak di bidang jasa konstruksi</w:t>
      </w:r>
      <w:r w:rsidR="00232558">
        <w:rPr>
          <w:rFonts w:ascii="Arial" w:hAnsi="Arial" w:cs="Arial"/>
          <w:noProof/>
          <w:sz w:val="24"/>
          <w:szCs w:val="24"/>
        </w:rPr>
        <w:t>,</w:t>
      </w:r>
      <w:r>
        <w:rPr>
          <w:rFonts w:ascii="Arial" w:hAnsi="Arial" w:cs="Arial"/>
          <w:noProof/>
          <w:sz w:val="24"/>
          <w:szCs w:val="24"/>
        </w:rPr>
        <w:t xml:space="preserve"> mengikuti tender Pembangunan Gedung Perpustakaan Kabupaten Aceh Jaya T.A 2021. Penggugat </w:t>
      </w:r>
      <w:r w:rsidR="00E71378">
        <w:rPr>
          <w:rFonts w:ascii="Arial" w:hAnsi="Arial" w:cs="Arial"/>
          <w:noProof/>
          <w:sz w:val="24"/>
          <w:szCs w:val="24"/>
        </w:rPr>
        <w:t xml:space="preserve">lalu </w:t>
      </w:r>
      <w:r>
        <w:rPr>
          <w:rFonts w:ascii="Arial" w:hAnsi="Arial" w:cs="Arial"/>
          <w:noProof/>
          <w:sz w:val="24"/>
          <w:szCs w:val="24"/>
        </w:rPr>
        <w:t xml:space="preserve">mempermasalahkan </w:t>
      </w:r>
      <w:r w:rsidR="004D7BFB">
        <w:rPr>
          <w:rFonts w:ascii="Arial" w:hAnsi="Arial" w:cs="Arial"/>
          <w:noProof/>
          <w:sz w:val="24"/>
          <w:szCs w:val="24"/>
        </w:rPr>
        <w:t>tindakan</w:t>
      </w:r>
      <w:r w:rsidR="005020D2">
        <w:rPr>
          <w:rFonts w:ascii="Arial" w:hAnsi="Arial" w:cs="Arial"/>
          <w:noProof/>
          <w:sz w:val="24"/>
          <w:szCs w:val="24"/>
        </w:rPr>
        <w:t xml:space="preserve"> Pokja (Tergugat I) yang mencantumkan penambahan persyaratan teknis terkait surat dukungan material </w:t>
      </w:r>
      <w:r w:rsidR="00BE63AA">
        <w:rPr>
          <w:rFonts w:ascii="Arial" w:hAnsi="Arial" w:cs="Arial"/>
          <w:noProof/>
          <w:sz w:val="24"/>
          <w:szCs w:val="24"/>
        </w:rPr>
        <w:t>yang bersifat umum</w:t>
      </w:r>
      <w:r w:rsidR="00E54548">
        <w:rPr>
          <w:rFonts w:ascii="Arial" w:hAnsi="Arial" w:cs="Arial"/>
          <w:noProof/>
          <w:sz w:val="24"/>
          <w:szCs w:val="24"/>
        </w:rPr>
        <w:t xml:space="preserve"> (pasir dan batu, batu</w:t>
      </w:r>
      <w:r w:rsidR="008A5D9B">
        <w:rPr>
          <w:rFonts w:ascii="Arial" w:hAnsi="Arial" w:cs="Arial"/>
          <w:noProof/>
          <w:sz w:val="24"/>
          <w:szCs w:val="24"/>
        </w:rPr>
        <w:t xml:space="preserve"> belah/gunung, tanah urug, batu bata merah)</w:t>
      </w:r>
      <w:r w:rsidR="00BE63AA">
        <w:rPr>
          <w:rFonts w:ascii="Arial" w:hAnsi="Arial" w:cs="Arial"/>
          <w:noProof/>
          <w:sz w:val="24"/>
          <w:szCs w:val="24"/>
        </w:rPr>
        <w:t xml:space="preserve"> </w:t>
      </w:r>
      <w:r w:rsidR="005020D2">
        <w:rPr>
          <w:rFonts w:ascii="Arial" w:hAnsi="Arial" w:cs="Arial"/>
          <w:noProof/>
          <w:sz w:val="24"/>
          <w:szCs w:val="24"/>
        </w:rPr>
        <w:t>dari pihak ketiga (produsen/suplier) di dalam</w:t>
      </w:r>
      <w:r>
        <w:rPr>
          <w:rFonts w:ascii="Arial" w:hAnsi="Arial" w:cs="Arial"/>
          <w:noProof/>
          <w:sz w:val="24"/>
          <w:szCs w:val="24"/>
        </w:rPr>
        <w:t xml:space="preserve"> Dokumen Pemilihan</w:t>
      </w:r>
      <w:r w:rsidR="00513DD7">
        <w:rPr>
          <w:rFonts w:ascii="Arial" w:hAnsi="Arial" w:cs="Arial"/>
          <w:noProof/>
          <w:sz w:val="24"/>
          <w:szCs w:val="24"/>
        </w:rPr>
        <w:t xml:space="preserve"> yang ditambahkan sebelum batas akhir pemasukan penawaran.</w:t>
      </w:r>
    </w:p>
    <w:p w14:paraId="0B45179C" w14:textId="6F1D49FD" w:rsidR="00513DD7" w:rsidRPr="00513DD7" w:rsidRDefault="00513DD7" w:rsidP="007861E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Ketika </w:t>
      </w:r>
      <w:r>
        <w:rPr>
          <w:rFonts w:ascii="Arial" w:hAnsi="Arial" w:cs="Arial"/>
          <w:i/>
          <w:iCs/>
          <w:noProof/>
          <w:sz w:val="24"/>
          <w:szCs w:val="24"/>
        </w:rPr>
        <w:t>aanwijzing</w:t>
      </w:r>
      <w:r w:rsidR="00E71378">
        <w:rPr>
          <w:rFonts w:ascii="Arial" w:hAnsi="Arial" w:cs="Arial"/>
          <w:i/>
          <w:iCs/>
          <w:noProof/>
          <w:sz w:val="24"/>
          <w:szCs w:val="24"/>
        </w:rPr>
        <w:t xml:space="preserve"> </w:t>
      </w:r>
      <w:r w:rsidR="00E71378">
        <w:rPr>
          <w:rFonts w:ascii="Arial" w:hAnsi="Arial" w:cs="Arial"/>
          <w:noProof/>
          <w:sz w:val="24"/>
          <w:szCs w:val="24"/>
        </w:rPr>
        <w:t>(tahapan penjelasan)</w:t>
      </w:r>
      <w:r>
        <w:rPr>
          <w:rFonts w:ascii="Arial" w:hAnsi="Arial" w:cs="Arial"/>
          <w:noProof/>
          <w:sz w:val="24"/>
          <w:szCs w:val="24"/>
        </w:rPr>
        <w:t xml:space="preserve">, Penggugat mengedepankan masukan </w:t>
      </w:r>
      <w:r w:rsidR="00E54548">
        <w:rPr>
          <w:rFonts w:ascii="Arial" w:hAnsi="Arial" w:cs="Arial"/>
          <w:noProof/>
          <w:sz w:val="24"/>
          <w:szCs w:val="24"/>
        </w:rPr>
        <w:t>agar surat dukungan tersebut bisa dipersyaratkan disaat sudah berkontrak agar memberi peluang terbuka untuk semua perusahaan sehingga terjadi persaingan sehat. Dalam hal ini, Tergugat I menjawab agar Penggugat mengikuti seperti yang dipersyaratkan di dalam Dokumen Pemilihan.</w:t>
      </w:r>
    </w:p>
    <w:p w14:paraId="6C9D9FFE" w14:textId="70F3EB66" w:rsidR="00E54548" w:rsidRDefault="00232558" w:rsidP="007861E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Saat</w:t>
      </w:r>
      <w:r w:rsidR="00E54548">
        <w:rPr>
          <w:rFonts w:ascii="Arial" w:hAnsi="Arial" w:cs="Arial"/>
          <w:noProof/>
          <w:sz w:val="24"/>
          <w:szCs w:val="24"/>
        </w:rPr>
        <w:t xml:space="preserve"> pengumuman pemenang berdasarkan Berita Acara Hasil Pemilihan, CV. Ilham Rezeki Mandiri (Turut Tergugat) dinyatakan sebagai Pemenang dan Penggugat dinyatakan gugur dengan alasan “tidak melampirkan surat dukungan material”. </w:t>
      </w:r>
      <w:r w:rsidR="008A5D9B">
        <w:rPr>
          <w:rFonts w:ascii="Arial" w:hAnsi="Arial" w:cs="Arial"/>
          <w:noProof/>
          <w:sz w:val="24"/>
          <w:szCs w:val="24"/>
        </w:rPr>
        <w:t>Penggugat lalu mengajukan sanggah hingga sanggah banding kepada PA Dinas Perpustakaan dan Arsip Kab. Aceh Jaya (Tergugat II) terkait ini, yang hasilnya ditolak.</w:t>
      </w:r>
    </w:p>
    <w:p w14:paraId="1D25C654" w14:textId="3E192CF1" w:rsidR="00784EF9" w:rsidRDefault="00182C21" w:rsidP="007861E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Penggugat menyatakan perbuatan tersebut </w:t>
      </w:r>
      <w:r w:rsidR="008A5D9B">
        <w:rPr>
          <w:rFonts w:ascii="Arial" w:hAnsi="Arial" w:cs="Arial"/>
          <w:noProof/>
          <w:sz w:val="24"/>
          <w:szCs w:val="24"/>
        </w:rPr>
        <w:t>sebagai</w:t>
      </w:r>
      <w:r>
        <w:rPr>
          <w:rFonts w:ascii="Arial" w:hAnsi="Arial" w:cs="Arial"/>
          <w:noProof/>
          <w:sz w:val="24"/>
          <w:szCs w:val="24"/>
        </w:rPr>
        <w:t xml:space="preserve"> Perbuatan Melawan Hukum</w:t>
      </w:r>
      <w:r w:rsidR="00784EF9">
        <w:rPr>
          <w:rFonts w:ascii="Arial" w:hAnsi="Arial" w:cs="Arial"/>
          <w:noProof/>
          <w:sz w:val="24"/>
          <w:szCs w:val="24"/>
        </w:rPr>
        <w:t xml:space="preserve"> (PMH)</w:t>
      </w:r>
      <w:r w:rsidR="00BF1C2F">
        <w:rPr>
          <w:rFonts w:ascii="Arial" w:hAnsi="Arial" w:cs="Arial"/>
          <w:noProof/>
          <w:sz w:val="24"/>
          <w:szCs w:val="24"/>
        </w:rPr>
        <w:t xml:space="preserve"> yang bertentangan dengan beberapa peraturan di antaranya PP No. 22 Tahun 2020, Perpres No. 16 Tahun 2018 beserta perubahannya, hingga PerLKPP No. 12 Tahun 2021.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BF1C2F">
        <w:rPr>
          <w:rFonts w:ascii="Arial" w:hAnsi="Arial" w:cs="Arial"/>
          <w:noProof/>
          <w:sz w:val="24"/>
          <w:szCs w:val="24"/>
        </w:rPr>
        <w:t>Begitu pula dengan</w:t>
      </w:r>
      <w:r>
        <w:rPr>
          <w:rFonts w:ascii="Arial" w:hAnsi="Arial" w:cs="Arial"/>
          <w:noProof/>
          <w:sz w:val="24"/>
          <w:szCs w:val="24"/>
        </w:rPr>
        <w:t xml:space="preserve"> perbuatan PPK (Tergugat III) yang tidak menolak hasil pemilihan</w:t>
      </w:r>
      <w:r w:rsidR="008A5D9B"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 xml:space="preserve">serta </w:t>
      </w:r>
      <w:r w:rsidR="00784EF9">
        <w:rPr>
          <w:rFonts w:ascii="Arial" w:hAnsi="Arial" w:cs="Arial"/>
          <w:noProof/>
          <w:sz w:val="24"/>
          <w:szCs w:val="24"/>
        </w:rPr>
        <w:t>APIP (Tergugat IV) yang melakukan pembiaran dan lalai dalam melaksanakan tugas pengawasan.</w:t>
      </w:r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0E9FA330" w14:textId="535004F9" w:rsidR="007861ED" w:rsidRDefault="00784EF9" w:rsidP="007861E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Penggugat mengajukan gugatan PMH ke PN </w:t>
      </w:r>
      <w:r w:rsidR="00FE0340">
        <w:rPr>
          <w:rFonts w:ascii="Arial" w:hAnsi="Arial" w:cs="Arial"/>
          <w:noProof/>
          <w:sz w:val="24"/>
          <w:szCs w:val="24"/>
        </w:rPr>
        <w:t>Calang</w:t>
      </w:r>
      <w:r w:rsidR="00BF1C2F">
        <w:rPr>
          <w:rFonts w:ascii="Arial" w:hAnsi="Arial" w:cs="Arial"/>
          <w:noProof/>
          <w:sz w:val="24"/>
          <w:szCs w:val="24"/>
        </w:rPr>
        <w:t xml:space="preserve"> yang</w:t>
      </w:r>
      <w:r w:rsidR="00FE0340">
        <w:rPr>
          <w:rFonts w:ascii="Arial" w:hAnsi="Arial" w:cs="Arial"/>
          <w:noProof/>
          <w:sz w:val="24"/>
          <w:szCs w:val="24"/>
        </w:rPr>
        <w:t xml:space="preserve"> dieksepsi oleh Tergugat</w:t>
      </w:r>
      <w:r w:rsidR="00710C98">
        <w:rPr>
          <w:rFonts w:ascii="Arial" w:hAnsi="Arial" w:cs="Arial"/>
          <w:noProof/>
          <w:sz w:val="24"/>
          <w:szCs w:val="24"/>
        </w:rPr>
        <w:t xml:space="preserve"> I,II,III, dan IV</w:t>
      </w:r>
      <w:r w:rsidR="00FE0340">
        <w:rPr>
          <w:rFonts w:ascii="Arial" w:hAnsi="Arial" w:cs="Arial"/>
          <w:noProof/>
          <w:sz w:val="24"/>
          <w:szCs w:val="24"/>
        </w:rPr>
        <w:t xml:space="preserve"> terkait kewenangan absolut</w:t>
      </w:r>
      <w:r w:rsidR="00BF1C2F">
        <w:rPr>
          <w:rFonts w:ascii="Arial" w:hAnsi="Arial" w:cs="Arial"/>
          <w:noProof/>
          <w:sz w:val="24"/>
          <w:szCs w:val="24"/>
        </w:rPr>
        <w:t xml:space="preserve"> karena Pengadilan Negeri tidak berwenang memeriksa, mengadili, dan memutus perkara ini. Dalam pokok perkara juga menyatakan </w:t>
      </w:r>
      <w:r w:rsidR="00983ACC">
        <w:rPr>
          <w:rFonts w:ascii="Arial" w:hAnsi="Arial" w:cs="Arial"/>
          <w:noProof/>
          <w:sz w:val="24"/>
          <w:szCs w:val="24"/>
        </w:rPr>
        <w:t>penambahan persyaratan teknis tersebut telah sesuai dengan Lampiran II Poin 3.5.5 dalam PerLKPP No. 12 Tahun 2021.</w:t>
      </w:r>
    </w:p>
    <w:p w14:paraId="1D44177F" w14:textId="2B37BB1C" w:rsidR="007861ED" w:rsidRDefault="00983ACC" w:rsidP="009653E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</w:t>
      </w:r>
      <w:r w:rsidR="00710C98">
        <w:rPr>
          <w:rFonts w:ascii="Arial" w:hAnsi="Arial" w:cs="Arial"/>
          <w:noProof/>
          <w:sz w:val="24"/>
          <w:szCs w:val="24"/>
        </w:rPr>
        <w:t>a</w:t>
      </w:r>
      <w:r>
        <w:rPr>
          <w:rFonts w:ascii="Arial" w:hAnsi="Arial" w:cs="Arial"/>
          <w:noProof/>
          <w:sz w:val="24"/>
          <w:szCs w:val="24"/>
        </w:rPr>
        <w:t xml:space="preserve">jelis Hakim PN Calang memutus menerima eksepsi </w:t>
      </w:r>
      <w:r w:rsidR="009653E0">
        <w:rPr>
          <w:rFonts w:ascii="Arial" w:hAnsi="Arial" w:cs="Arial"/>
          <w:noProof/>
          <w:sz w:val="24"/>
          <w:szCs w:val="24"/>
        </w:rPr>
        <w:t xml:space="preserve">tersebut </w:t>
      </w:r>
      <w:r w:rsidR="00710C98">
        <w:rPr>
          <w:rFonts w:ascii="Arial" w:hAnsi="Arial" w:cs="Arial"/>
          <w:noProof/>
          <w:sz w:val="24"/>
          <w:szCs w:val="24"/>
        </w:rPr>
        <w:t>d</w:t>
      </w:r>
      <w:r w:rsidR="009653E0">
        <w:rPr>
          <w:rFonts w:ascii="Arial" w:hAnsi="Arial" w:cs="Arial"/>
          <w:noProof/>
          <w:sz w:val="24"/>
          <w:szCs w:val="24"/>
        </w:rPr>
        <w:t>engan</w:t>
      </w:r>
      <w:r w:rsidR="00710C98">
        <w:rPr>
          <w:rFonts w:ascii="Arial" w:hAnsi="Arial" w:cs="Arial"/>
          <w:noProof/>
          <w:sz w:val="24"/>
          <w:szCs w:val="24"/>
        </w:rPr>
        <w:t xml:space="preserve"> menyatakan Pengadilan Negeri tidak berwenang. Putusan ini dikuatkan pada tingkat Banding di PT Banda Aceh dan Kasasi dengan pertimbangan</w:t>
      </w:r>
      <w:r w:rsidR="009653E0">
        <w:rPr>
          <w:rFonts w:ascii="Arial" w:hAnsi="Arial" w:cs="Arial"/>
          <w:noProof/>
          <w:sz w:val="24"/>
          <w:szCs w:val="24"/>
        </w:rPr>
        <w:t xml:space="preserve"> Tergugat I, II, III, dan IV merupakan Badan/Pejabat Tata Usaha Negara dan tindakan yang dilakukan adalah tindakan pemerintah dalam konteks ranah hukum publik yang tidak tunduk pada hukum keperdataan sehingga gugatan harus dinyatakan tidak dapat diterima.</w:t>
      </w:r>
      <w:r w:rsidR="00710C98">
        <w:rPr>
          <w:rFonts w:ascii="Arial" w:hAnsi="Arial" w:cs="Arial"/>
          <w:noProof/>
          <w:sz w:val="24"/>
          <w:szCs w:val="24"/>
        </w:rPr>
        <w:t xml:space="preserve">  </w:t>
      </w:r>
    </w:p>
    <w:p w14:paraId="299B7DE9" w14:textId="77777777" w:rsidR="009653E0" w:rsidRDefault="009653E0" w:rsidP="009653E0">
      <w:pPr>
        <w:jc w:val="both"/>
        <w:rPr>
          <w:rFonts w:ascii="Arial" w:hAnsi="Arial" w:cs="Arial"/>
          <w:noProof/>
          <w:sz w:val="24"/>
          <w:szCs w:val="24"/>
        </w:rPr>
      </w:pPr>
    </w:p>
    <w:p w14:paraId="5846194F" w14:textId="6D58E1A3" w:rsidR="007861ED" w:rsidRDefault="007861ED" w:rsidP="007861E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→ Putusan Mahkamah Agung Nomor 3649 K/PDT/2022, Tanggal 26 Oktober 2022</w:t>
      </w:r>
    </w:p>
    <w:p w14:paraId="1445D20E" w14:textId="5F5B3F04" w:rsidR="007861ED" w:rsidRDefault="007861ED" w:rsidP="007861ED">
      <w:pPr>
        <w:jc w:val="both"/>
        <w:rPr>
          <w:rFonts w:ascii="Arial" w:hAnsi="Arial" w:cs="Arial"/>
          <w:sz w:val="24"/>
          <w:szCs w:val="24"/>
        </w:rPr>
      </w:pPr>
      <w:r w:rsidRPr="00151CCB">
        <w:rPr>
          <w:rFonts w:ascii="Arial" w:hAnsi="Arial" w:cs="Arial"/>
          <w:noProof/>
          <w:sz w:val="24"/>
          <w:szCs w:val="24"/>
        </w:rPr>
        <w:lastRenderedPageBreak/>
        <w:t xml:space="preserve">Sumber: </w:t>
      </w:r>
      <w:hyperlink r:id="rId4" w:history="1">
        <w:r w:rsidRPr="00F100C2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https://putusan3.mahkamahagung.go.id/direktori/putusan/zaedcea8710d3ab8b7f5313031303336.html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55981B35" w14:textId="77777777" w:rsidR="007861ED" w:rsidRPr="00944D70" w:rsidRDefault="007861ED" w:rsidP="007861ED">
      <w:pPr>
        <w:jc w:val="both"/>
        <w:rPr>
          <w:rFonts w:ascii="Arial" w:hAnsi="Arial" w:cs="Arial"/>
          <w:sz w:val="24"/>
          <w:szCs w:val="24"/>
        </w:rPr>
      </w:pPr>
    </w:p>
    <w:p w14:paraId="47589BF7" w14:textId="77777777" w:rsidR="007861ED" w:rsidRDefault="007861ED" w:rsidP="007861E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2D643929" w14:textId="77777777" w:rsidR="007861ED" w:rsidRDefault="007861ED" w:rsidP="007861E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78F198FB" w14:textId="77777777" w:rsidR="007861ED" w:rsidRDefault="007861ED" w:rsidP="007861ED">
      <w:pPr>
        <w:spacing w:after="0"/>
        <w:jc w:val="both"/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6786D323" w14:textId="77777777" w:rsidR="007861ED" w:rsidRDefault="007861ED" w:rsidP="007861ED"/>
    <w:p w14:paraId="7C1B1678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ED"/>
    <w:rsid w:val="00055AF3"/>
    <w:rsid w:val="00182C21"/>
    <w:rsid w:val="00230B12"/>
    <w:rsid w:val="00232558"/>
    <w:rsid w:val="00422ADC"/>
    <w:rsid w:val="004D7BFB"/>
    <w:rsid w:val="005020D2"/>
    <w:rsid w:val="00513DD7"/>
    <w:rsid w:val="005E65F9"/>
    <w:rsid w:val="00710C98"/>
    <w:rsid w:val="00776034"/>
    <w:rsid w:val="00784EF9"/>
    <w:rsid w:val="007861ED"/>
    <w:rsid w:val="007A3015"/>
    <w:rsid w:val="007C6969"/>
    <w:rsid w:val="008A5D9B"/>
    <w:rsid w:val="009653E0"/>
    <w:rsid w:val="00983ACC"/>
    <w:rsid w:val="00BE63AA"/>
    <w:rsid w:val="00BF1C2F"/>
    <w:rsid w:val="00D41509"/>
    <w:rsid w:val="00E02832"/>
    <w:rsid w:val="00E54548"/>
    <w:rsid w:val="00E71378"/>
    <w:rsid w:val="00EB311F"/>
    <w:rsid w:val="00F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E1A5"/>
  <w15:chartTrackingRefBased/>
  <w15:docId w15:val="{35C4254C-C594-481C-B9EF-F20ABCA7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1ED"/>
  </w:style>
  <w:style w:type="paragraph" w:styleId="Heading1">
    <w:name w:val="heading 1"/>
    <w:basedOn w:val="Normal"/>
    <w:next w:val="Normal"/>
    <w:link w:val="Heading1Char"/>
    <w:uiPriority w:val="9"/>
    <w:qFormat/>
    <w:rsid w:val="00786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1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1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1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1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1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1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1E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61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dcea8710d3ab8b7f53130313033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4</cp:revision>
  <dcterms:created xsi:type="dcterms:W3CDTF">2025-09-18T03:05:00Z</dcterms:created>
  <dcterms:modified xsi:type="dcterms:W3CDTF">2025-09-19T10:58:00Z</dcterms:modified>
</cp:coreProperties>
</file>