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D3652" w14:textId="77777777" w:rsidR="003F0B77" w:rsidRDefault="003F0B77" w:rsidP="003F0B77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3C79C06E" w14:textId="767A46FC" w:rsidR="003F0B77" w:rsidRDefault="003F0B77" w:rsidP="003F0B77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Jumat, 18 Juli 2025</w:t>
      </w:r>
    </w:p>
    <w:p w14:paraId="25D8113B" w14:textId="1194D9A9" w:rsidR="003F0B77" w:rsidRDefault="00D119CD" w:rsidP="003F0B77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KETERANGAN SAKSI DALAM PEMERIKASAAN KASUS PIDANA TIDAK DAPAT DIGUGAT </w:t>
      </w:r>
      <w:r w:rsidR="004037A0">
        <w:rPr>
          <w:rFonts w:ascii="Arial" w:hAnsi="Arial" w:cs="Arial"/>
          <w:b/>
          <w:bCs/>
          <w:noProof/>
          <w:sz w:val="24"/>
          <w:szCs w:val="24"/>
        </w:rPr>
        <w:t xml:space="preserve">PERDATA </w:t>
      </w:r>
      <w:r>
        <w:rPr>
          <w:rFonts w:ascii="Arial" w:hAnsi="Arial" w:cs="Arial"/>
          <w:b/>
          <w:bCs/>
          <w:noProof/>
          <w:sz w:val="24"/>
          <w:szCs w:val="24"/>
        </w:rPr>
        <w:t xml:space="preserve">SEBAGAI </w:t>
      </w:r>
      <w:r w:rsidR="004037A0">
        <w:rPr>
          <w:rFonts w:ascii="Arial" w:hAnsi="Arial" w:cs="Arial"/>
          <w:b/>
          <w:bCs/>
          <w:noProof/>
          <w:sz w:val="24"/>
          <w:szCs w:val="24"/>
        </w:rPr>
        <w:t>PERBUATAN ME</w:t>
      </w:r>
      <w:r w:rsidR="007C74F0">
        <w:rPr>
          <w:rFonts w:ascii="Arial" w:hAnsi="Arial" w:cs="Arial"/>
          <w:b/>
          <w:bCs/>
          <w:noProof/>
          <w:sz w:val="24"/>
          <w:szCs w:val="24"/>
        </w:rPr>
        <w:t>LAWAN</w:t>
      </w:r>
      <w:r w:rsidR="004037A0">
        <w:rPr>
          <w:rFonts w:ascii="Arial" w:hAnsi="Arial" w:cs="Arial"/>
          <w:b/>
          <w:bCs/>
          <w:noProof/>
          <w:sz w:val="24"/>
          <w:szCs w:val="24"/>
        </w:rPr>
        <w:t xml:space="preserve"> HUKUM KETIKA DIANGGAP MENIMBULKAN KERUGIAN</w:t>
      </w:r>
    </w:p>
    <w:p w14:paraId="1E77F81A" w14:textId="31130CF6" w:rsidR="00C41561" w:rsidRDefault="00724373" w:rsidP="003F0B77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Erwan Yuni Suryanta, Dirut PT. Ryantama Citrakarya Abadi (Penggugat)</w:t>
      </w:r>
      <w:r w:rsidR="00C41561">
        <w:rPr>
          <w:rFonts w:ascii="Arial" w:hAnsi="Arial" w:cs="Arial"/>
          <w:noProof/>
          <w:sz w:val="24"/>
          <w:szCs w:val="24"/>
        </w:rPr>
        <w:t xml:space="preserve">, </w:t>
      </w:r>
      <w:r w:rsidR="00700141">
        <w:rPr>
          <w:rFonts w:ascii="Arial" w:hAnsi="Arial" w:cs="Arial"/>
          <w:noProof/>
          <w:sz w:val="24"/>
          <w:szCs w:val="24"/>
        </w:rPr>
        <w:t xml:space="preserve"> ditetapkan sebagai Tersangka </w:t>
      </w:r>
      <w:r w:rsidR="00C41561">
        <w:rPr>
          <w:rFonts w:ascii="Arial" w:hAnsi="Arial" w:cs="Arial"/>
          <w:noProof/>
          <w:sz w:val="24"/>
          <w:szCs w:val="24"/>
        </w:rPr>
        <w:t xml:space="preserve">tindak pidana korupsi </w:t>
      </w:r>
      <w:r w:rsidR="00C315C4">
        <w:rPr>
          <w:rFonts w:ascii="Arial" w:hAnsi="Arial" w:cs="Arial"/>
          <w:noProof/>
          <w:sz w:val="24"/>
          <w:szCs w:val="24"/>
        </w:rPr>
        <w:t xml:space="preserve">oleh Kejaksaan Negeri Tanjung Pinang </w:t>
      </w:r>
      <w:r w:rsidR="004037A0">
        <w:rPr>
          <w:rFonts w:ascii="Arial" w:hAnsi="Arial" w:cs="Arial"/>
          <w:noProof/>
          <w:sz w:val="24"/>
          <w:szCs w:val="24"/>
        </w:rPr>
        <w:t>terkait</w:t>
      </w:r>
      <w:r w:rsidR="00700141">
        <w:rPr>
          <w:rFonts w:ascii="Arial" w:hAnsi="Arial" w:cs="Arial"/>
          <w:noProof/>
          <w:sz w:val="24"/>
          <w:szCs w:val="24"/>
        </w:rPr>
        <w:t xml:space="preserve"> pemenangan </w:t>
      </w:r>
      <w:r w:rsidR="00C41561">
        <w:rPr>
          <w:rFonts w:ascii="Arial" w:hAnsi="Arial" w:cs="Arial"/>
          <w:noProof/>
          <w:sz w:val="24"/>
          <w:szCs w:val="24"/>
        </w:rPr>
        <w:t>T</w:t>
      </w:r>
      <w:r w:rsidR="00700141">
        <w:rPr>
          <w:rFonts w:ascii="Arial" w:hAnsi="Arial" w:cs="Arial"/>
          <w:noProof/>
          <w:sz w:val="24"/>
          <w:szCs w:val="24"/>
        </w:rPr>
        <w:t>ender Proyek</w:t>
      </w:r>
      <w:r w:rsidR="00C41561">
        <w:rPr>
          <w:rFonts w:ascii="Arial" w:hAnsi="Arial" w:cs="Arial"/>
          <w:noProof/>
          <w:sz w:val="24"/>
          <w:szCs w:val="24"/>
        </w:rPr>
        <w:t xml:space="preserve"> Peningkatan Kualitas Pemukiman Kumuh Kota Tanjung Pinang Kawasan Senggarang-Kampung Bugis Tahun Anggaran 2020</w:t>
      </w:r>
      <w:r w:rsidR="004037A0">
        <w:rPr>
          <w:rFonts w:ascii="Arial" w:hAnsi="Arial" w:cs="Arial"/>
          <w:noProof/>
          <w:sz w:val="24"/>
          <w:szCs w:val="24"/>
        </w:rPr>
        <w:t xml:space="preserve">. </w:t>
      </w:r>
      <w:r w:rsidR="00C41561">
        <w:rPr>
          <w:rFonts w:ascii="Arial" w:hAnsi="Arial" w:cs="Arial"/>
          <w:noProof/>
          <w:sz w:val="24"/>
          <w:szCs w:val="24"/>
        </w:rPr>
        <w:t xml:space="preserve">Selain Penggugat, Pokja </w:t>
      </w:r>
      <w:r w:rsidR="00C41561" w:rsidRPr="003F0B77">
        <w:rPr>
          <w:rFonts w:ascii="Arial" w:hAnsi="Arial" w:cs="Arial"/>
          <w:noProof/>
          <w:sz w:val="24"/>
          <w:szCs w:val="24"/>
        </w:rPr>
        <w:t>Pemilihan Satuan Kerja Pelaksanaan Prasarana Pemukiman Pro</w:t>
      </w:r>
      <w:r w:rsidR="00C41561">
        <w:rPr>
          <w:rFonts w:ascii="Arial" w:hAnsi="Arial" w:cs="Arial"/>
          <w:noProof/>
          <w:sz w:val="24"/>
          <w:szCs w:val="24"/>
        </w:rPr>
        <w:t>v</w:t>
      </w:r>
      <w:r w:rsidR="00C41561" w:rsidRPr="003F0B77">
        <w:rPr>
          <w:rFonts w:ascii="Arial" w:hAnsi="Arial" w:cs="Arial"/>
          <w:noProof/>
          <w:sz w:val="24"/>
          <w:szCs w:val="24"/>
        </w:rPr>
        <w:t>insi Kepulauan Riau</w:t>
      </w:r>
      <w:r w:rsidR="00C41561">
        <w:rPr>
          <w:rFonts w:ascii="Arial" w:hAnsi="Arial" w:cs="Arial"/>
          <w:noProof/>
          <w:sz w:val="24"/>
          <w:szCs w:val="24"/>
        </w:rPr>
        <w:t xml:space="preserve"> </w:t>
      </w:r>
      <w:r w:rsidR="00C315C4">
        <w:rPr>
          <w:rFonts w:ascii="Arial" w:hAnsi="Arial" w:cs="Arial"/>
          <w:noProof/>
          <w:sz w:val="24"/>
          <w:szCs w:val="24"/>
        </w:rPr>
        <w:t xml:space="preserve">(Tergugat I) </w:t>
      </w:r>
      <w:r w:rsidR="00C41561">
        <w:rPr>
          <w:rFonts w:ascii="Arial" w:hAnsi="Arial" w:cs="Arial"/>
          <w:noProof/>
          <w:sz w:val="24"/>
          <w:szCs w:val="24"/>
        </w:rPr>
        <w:t xml:space="preserve">dan Amat Chandra </w:t>
      </w:r>
      <w:r w:rsidR="00C0200A">
        <w:rPr>
          <w:rFonts w:ascii="Arial" w:hAnsi="Arial" w:cs="Arial"/>
          <w:noProof/>
          <w:sz w:val="24"/>
          <w:szCs w:val="24"/>
        </w:rPr>
        <w:t>(</w:t>
      </w:r>
      <w:r w:rsidR="00C315C4">
        <w:rPr>
          <w:rFonts w:ascii="Arial" w:hAnsi="Arial" w:cs="Arial"/>
          <w:noProof/>
          <w:sz w:val="24"/>
          <w:szCs w:val="24"/>
        </w:rPr>
        <w:t>Tergugat II</w:t>
      </w:r>
      <w:r w:rsidR="00C0200A">
        <w:rPr>
          <w:rFonts w:ascii="Arial" w:hAnsi="Arial" w:cs="Arial"/>
          <w:noProof/>
          <w:sz w:val="24"/>
          <w:szCs w:val="24"/>
        </w:rPr>
        <w:t xml:space="preserve">) </w:t>
      </w:r>
      <w:r w:rsidR="00C41561">
        <w:rPr>
          <w:rFonts w:ascii="Arial" w:hAnsi="Arial" w:cs="Arial"/>
          <w:noProof/>
          <w:sz w:val="24"/>
          <w:szCs w:val="24"/>
        </w:rPr>
        <w:t>juga ditetapkan sebagai tersangka yang kemudian memberikan keterangan sebagai saksi terhadap Penggugat.</w:t>
      </w:r>
      <w:r w:rsidR="00C315C4">
        <w:rPr>
          <w:rFonts w:ascii="Arial" w:hAnsi="Arial" w:cs="Arial"/>
          <w:noProof/>
          <w:sz w:val="24"/>
          <w:szCs w:val="24"/>
        </w:rPr>
        <w:t xml:space="preserve"> </w:t>
      </w:r>
    </w:p>
    <w:p w14:paraId="0EA107FB" w14:textId="1D62AFF8" w:rsidR="00C41561" w:rsidRDefault="00C41561" w:rsidP="003F0B77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Penggugat mendalilkan bahwa </w:t>
      </w:r>
      <w:r w:rsidR="00C0200A">
        <w:rPr>
          <w:rFonts w:ascii="Arial" w:hAnsi="Arial" w:cs="Arial"/>
          <w:noProof/>
          <w:sz w:val="24"/>
          <w:szCs w:val="24"/>
        </w:rPr>
        <w:t xml:space="preserve">penetapannya sebagai Tersangka hanya berdasarkan keterangan dari Para Tergugat yang bentuknya </w:t>
      </w:r>
      <w:r w:rsidR="00C0200A" w:rsidRPr="00C36652">
        <w:rPr>
          <w:rFonts w:ascii="Arial" w:hAnsi="Arial" w:cs="Arial"/>
          <w:i/>
          <w:iCs/>
          <w:noProof/>
          <w:sz w:val="24"/>
          <w:szCs w:val="24"/>
        </w:rPr>
        <w:t>Testimonium De Auditu</w:t>
      </w:r>
      <w:r w:rsidR="00C0200A">
        <w:rPr>
          <w:rFonts w:ascii="Arial" w:hAnsi="Arial" w:cs="Arial"/>
          <w:noProof/>
          <w:sz w:val="24"/>
          <w:szCs w:val="24"/>
        </w:rPr>
        <w:t xml:space="preserve"> </w:t>
      </w:r>
      <w:r w:rsidR="003703E8">
        <w:rPr>
          <w:rFonts w:ascii="Arial" w:hAnsi="Arial" w:cs="Arial"/>
          <w:noProof/>
          <w:sz w:val="24"/>
          <w:szCs w:val="24"/>
        </w:rPr>
        <w:t>(kesaksian yang bukan dari pengalaman langsung) sehingga tidak mempunyai kekuatan pembuktian. Penggugat tanpa memberikan rincian, menyatakan telah dirugikan secara materiil dan immateriil sebesar Rp. 10.000.000.000.</w:t>
      </w:r>
    </w:p>
    <w:p w14:paraId="64B9004F" w14:textId="51B6FF6E" w:rsidR="003703E8" w:rsidRDefault="00553061" w:rsidP="003F0B77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Dalam eksepsi, </w:t>
      </w:r>
      <w:r w:rsidR="00DB21B5">
        <w:rPr>
          <w:rFonts w:ascii="Arial" w:hAnsi="Arial" w:cs="Arial"/>
          <w:noProof/>
          <w:sz w:val="24"/>
          <w:szCs w:val="24"/>
        </w:rPr>
        <w:t>Tergugat I</w:t>
      </w:r>
      <w:r w:rsidR="00605734">
        <w:rPr>
          <w:rFonts w:ascii="Arial" w:hAnsi="Arial" w:cs="Arial"/>
          <w:noProof/>
          <w:sz w:val="24"/>
          <w:szCs w:val="24"/>
        </w:rPr>
        <w:t xml:space="preserve"> pada intinya menyatakan gugatan ini </w:t>
      </w:r>
      <w:r w:rsidR="00DB21B5">
        <w:rPr>
          <w:rFonts w:ascii="Arial" w:hAnsi="Arial" w:cs="Arial"/>
          <w:noProof/>
          <w:sz w:val="24"/>
          <w:szCs w:val="24"/>
        </w:rPr>
        <w:t xml:space="preserve">salah sasaran karena Penggugat tidak mempunyai hubungan hukum keperdataan dengannya serta ini </w:t>
      </w:r>
      <w:r w:rsidR="00605734">
        <w:rPr>
          <w:rFonts w:ascii="Arial" w:hAnsi="Arial" w:cs="Arial"/>
          <w:noProof/>
          <w:sz w:val="24"/>
          <w:szCs w:val="24"/>
        </w:rPr>
        <w:t xml:space="preserve">bukanlah </w:t>
      </w:r>
      <w:r w:rsidR="00DB21B5">
        <w:rPr>
          <w:rFonts w:ascii="Arial" w:hAnsi="Arial" w:cs="Arial"/>
          <w:noProof/>
          <w:sz w:val="24"/>
          <w:szCs w:val="24"/>
        </w:rPr>
        <w:t xml:space="preserve">kewenangan Pengadilan Negeri karena statusnya sebagai pejabat pemerintah. Tergugat II juga menjelaskan bahwa </w:t>
      </w:r>
      <w:r w:rsidR="00C315C4">
        <w:rPr>
          <w:rFonts w:ascii="Arial" w:hAnsi="Arial" w:cs="Arial"/>
          <w:noProof/>
          <w:sz w:val="24"/>
          <w:szCs w:val="24"/>
        </w:rPr>
        <w:t>gugatan ini kurang pihak karena tidak menarik Kejaksaan Negeri Tanjung Pinang.</w:t>
      </w:r>
    </w:p>
    <w:p w14:paraId="4AC92702" w14:textId="77777777" w:rsidR="00192800" w:rsidRDefault="00C315C4" w:rsidP="004037A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Hakim PN Batam </w:t>
      </w:r>
      <w:r w:rsidR="006B41BD">
        <w:rPr>
          <w:rFonts w:ascii="Arial" w:hAnsi="Arial" w:cs="Arial"/>
          <w:noProof/>
          <w:sz w:val="24"/>
          <w:szCs w:val="24"/>
        </w:rPr>
        <w:t xml:space="preserve">dalam putusannya menolak semua eksepsi dari Para Tergugat dan menolak seluruh gugatan dari Penggugat. Pada tingkat banding, putusan ini </w:t>
      </w:r>
      <w:r w:rsidR="00553061">
        <w:rPr>
          <w:rFonts w:ascii="Arial" w:hAnsi="Arial" w:cs="Arial"/>
          <w:noProof/>
          <w:sz w:val="24"/>
          <w:szCs w:val="24"/>
        </w:rPr>
        <w:t>dikuatkan dengan sedikit perbaik</w:t>
      </w:r>
      <w:r w:rsidR="00D119CD">
        <w:rPr>
          <w:rFonts w:ascii="Arial" w:hAnsi="Arial" w:cs="Arial"/>
          <w:noProof/>
          <w:sz w:val="24"/>
          <w:szCs w:val="24"/>
        </w:rPr>
        <w:t>a</w:t>
      </w:r>
      <w:r w:rsidR="00553061">
        <w:rPr>
          <w:rFonts w:ascii="Arial" w:hAnsi="Arial" w:cs="Arial"/>
          <w:noProof/>
          <w:sz w:val="24"/>
          <w:szCs w:val="24"/>
        </w:rPr>
        <w:t>n pada sistematik</w:t>
      </w:r>
      <w:r w:rsidR="004037A0">
        <w:rPr>
          <w:rFonts w:ascii="Arial" w:hAnsi="Arial" w:cs="Arial"/>
          <w:noProof/>
          <w:sz w:val="24"/>
          <w:szCs w:val="24"/>
        </w:rPr>
        <w:t>a</w:t>
      </w:r>
      <w:r w:rsidR="00553061">
        <w:rPr>
          <w:rFonts w:ascii="Arial" w:hAnsi="Arial" w:cs="Arial"/>
          <w:noProof/>
          <w:sz w:val="24"/>
          <w:szCs w:val="24"/>
        </w:rPr>
        <w:t xml:space="preserve"> amar putusan </w:t>
      </w:r>
      <w:r w:rsidR="00D119CD">
        <w:rPr>
          <w:rFonts w:ascii="Arial" w:hAnsi="Arial" w:cs="Arial"/>
          <w:noProof/>
          <w:sz w:val="24"/>
          <w:szCs w:val="24"/>
        </w:rPr>
        <w:t>dengan menambahkan Eksepsi Kompetensi yang isinya</w:t>
      </w:r>
      <w:r w:rsidR="00553061">
        <w:rPr>
          <w:rFonts w:ascii="Arial" w:hAnsi="Arial" w:cs="Arial"/>
          <w:noProof/>
          <w:sz w:val="24"/>
          <w:szCs w:val="24"/>
        </w:rPr>
        <w:t xml:space="preserve"> menyatakan Pengadilan Negeri berwenang mengadili perkara ini. Majelis Hakim tingkat kasasi juga sependapat dengan Judex Facti karena tidak salah menerapkan hukum</w:t>
      </w:r>
      <w:r w:rsidR="00192800">
        <w:rPr>
          <w:rFonts w:ascii="Arial" w:hAnsi="Arial" w:cs="Arial"/>
          <w:noProof/>
          <w:sz w:val="24"/>
          <w:szCs w:val="24"/>
        </w:rPr>
        <w:t>.</w:t>
      </w:r>
    </w:p>
    <w:p w14:paraId="65A089F5" w14:textId="0CF1A072" w:rsidR="00746256" w:rsidRDefault="00192800" w:rsidP="004037A0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Majelis </w:t>
      </w:r>
      <w:r w:rsidR="00553061">
        <w:rPr>
          <w:rFonts w:ascii="Arial" w:hAnsi="Arial" w:cs="Arial"/>
          <w:noProof/>
          <w:sz w:val="24"/>
          <w:szCs w:val="24"/>
        </w:rPr>
        <w:t>menimbang Para Tergugat baik sebagai saksi maupun tersangka mempunyai kewajiban hukum untuk memberikan keterangan dengan be</w:t>
      </w:r>
      <w:r w:rsidR="00D119CD">
        <w:rPr>
          <w:rFonts w:ascii="Arial" w:hAnsi="Arial" w:cs="Arial"/>
          <w:noProof/>
          <w:sz w:val="24"/>
          <w:szCs w:val="24"/>
        </w:rPr>
        <w:t>rlandaskan</w:t>
      </w:r>
      <w:r w:rsidR="00553061">
        <w:rPr>
          <w:rFonts w:ascii="Arial" w:hAnsi="Arial" w:cs="Arial"/>
          <w:noProof/>
          <w:sz w:val="24"/>
          <w:szCs w:val="24"/>
        </w:rPr>
        <w:t xml:space="preserve"> pada Yurisprudensi Mahkamah Agung RI No. 808 K/Pdt/1989 tanggal 20 Oktober 1990 yang men</w:t>
      </w:r>
      <w:r w:rsidR="00D119CD">
        <w:rPr>
          <w:rFonts w:ascii="Arial" w:hAnsi="Arial" w:cs="Arial"/>
          <w:noProof/>
          <w:sz w:val="24"/>
          <w:szCs w:val="24"/>
        </w:rPr>
        <w:t xml:space="preserve">jelaskan terkait </w:t>
      </w:r>
      <w:r w:rsidRPr="00192800">
        <w:rPr>
          <w:rFonts w:ascii="Arial" w:hAnsi="Arial" w:cs="Arial"/>
          <w:i/>
          <w:iCs/>
          <w:noProof/>
          <w:sz w:val="24"/>
          <w:szCs w:val="24"/>
        </w:rPr>
        <w:t>“</w:t>
      </w:r>
      <w:r w:rsidR="00D119CD" w:rsidRPr="00192800">
        <w:rPr>
          <w:rFonts w:ascii="Arial" w:hAnsi="Arial" w:cs="Arial"/>
          <w:i/>
          <w:iCs/>
          <w:noProof/>
          <w:sz w:val="24"/>
          <w:szCs w:val="24"/>
        </w:rPr>
        <w:t xml:space="preserve">pembebasan pemidanaan atas laporan Tergugat, tidak dapat dijadikan dasar hukum menuntut ganti rugi kepada Tergugat sebagai pelapor </w:t>
      </w:r>
      <w:r w:rsidRPr="00192800">
        <w:rPr>
          <w:rFonts w:ascii="Arial" w:hAnsi="Arial" w:cs="Arial"/>
          <w:i/>
          <w:iCs/>
          <w:noProof/>
          <w:sz w:val="24"/>
          <w:szCs w:val="24"/>
        </w:rPr>
        <w:t xml:space="preserve">atas </w:t>
      </w:r>
      <w:r w:rsidR="00D119CD" w:rsidRPr="00192800">
        <w:rPr>
          <w:rFonts w:ascii="Arial" w:hAnsi="Arial" w:cs="Arial"/>
          <w:i/>
          <w:iCs/>
          <w:noProof/>
          <w:sz w:val="24"/>
          <w:szCs w:val="24"/>
        </w:rPr>
        <w:t xml:space="preserve">dalil Perbuatan Melawan Hukum </w:t>
      </w:r>
      <w:r w:rsidRPr="00192800">
        <w:rPr>
          <w:rFonts w:ascii="Arial" w:hAnsi="Arial" w:cs="Arial"/>
          <w:i/>
          <w:iCs/>
          <w:noProof/>
          <w:sz w:val="24"/>
          <w:szCs w:val="24"/>
        </w:rPr>
        <w:t xml:space="preserve">yang digariskan </w:t>
      </w:r>
      <w:r w:rsidR="00D119CD" w:rsidRPr="00192800">
        <w:rPr>
          <w:rFonts w:ascii="Arial" w:hAnsi="Arial" w:cs="Arial"/>
          <w:i/>
          <w:iCs/>
          <w:noProof/>
          <w:sz w:val="24"/>
          <w:szCs w:val="24"/>
        </w:rPr>
        <w:t>Pasal 1365 KUHPerdata dan gugatan tersebut harus dinyatakan ditolak</w:t>
      </w:r>
      <w:r w:rsidRPr="00192800">
        <w:rPr>
          <w:rFonts w:ascii="Arial" w:hAnsi="Arial" w:cs="Arial"/>
          <w:i/>
          <w:iCs/>
          <w:noProof/>
          <w:sz w:val="24"/>
          <w:szCs w:val="24"/>
        </w:rPr>
        <w:t>”.</w:t>
      </w:r>
    </w:p>
    <w:p w14:paraId="0E12B3D4" w14:textId="77777777" w:rsidR="004037A0" w:rsidRPr="004037A0" w:rsidRDefault="004037A0" w:rsidP="004037A0">
      <w:pPr>
        <w:jc w:val="both"/>
        <w:rPr>
          <w:rFonts w:ascii="Arial" w:hAnsi="Arial" w:cs="Arial"/>
          <w:noProof/>
          <w:sz w:val="24"/>
          <w:szCs w:val="24"/>
        </w:rPr>
      </w:pPr>
    </w:p>
    <w:p w14:paraId="7C2805E9" w14:textId="5951033A" w:rsidR="003F0B77" w:rsidRDefault="003F0B77" w:rsidP="003F0B77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→ Putusan Mahkamah Agung Nomor 3783 K/PDT/2024, 3 Oktober 2024</w:t>
      </w:r>
    </w:p>
    <w:p w14:paraId="2677B0AF" w14:textId="51A8E2A9" w:rsidR="003F0B77" w:rsidRDefault="003F0B77" w:rsidP="003F0B77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5" w:history="1">
        <w:r w:rsidRPr="00401CE9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https://putusan3.mahkamahagung.go.id/direktori/putusan/zaefe1dfb8fd4b14a89a313033343036.html</w:t>
        </w:r>
      </w:hyperlink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58C1F8EC" w14:textId="77777777" w:rsidR="003F0B77" w:rsidRDefault="003F0B77" w:rsidP="003F0B77">
      <w:pPr>
        <w:spacing w:after="0"/>
        <w:jc w:val="both"/>
      </w:pPr>
    </w:p>
    <w:p w14:paraId="24775D4A" w14:textId="77777777" w:rsidR="003F0B77" w:rsidRDefault="003F0B77" w:rsidP="003F0B77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12429469" w14:textId="77777777" w:rsidR="003F0B77" w:rsidRDefault="003F0B77" w:rsidP="003F0B77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1F444049" w14:textId="77777777" w:rsidR="003F0B77" w:rsidRPr="00582485" w:rsidRDefault="003F0B77" w:rsidP="003F0B77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66BF0450" w14:textId="77777777" w:rsidR="007C6969" w:rsidRDefault="007C6969"/>
    <w:sectPr w:rsidR="007C6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49D0"/>
    <w:multiLevelType w:val="hybridMultilevel"/>
    <w:tmpl w:val="DD00C368"/>
    <w:lvl w:ilvl="0" w:tplc="1A34B7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41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77"/>
    <w:rsid w:val="001872AE"/>
    <w:rsid w:val="00192800"/>
    <w:rsid w:val="002F4848"/>
    <w:rsid w:val="003703E8"/>
    <w:rsid w:val="003F0B77"/>
    <w:rsid w:val="004037A0"/>
    <w:rsid w:val="00422ADC"/>
    <w:rsid w:val="00553061"/>
    <w:rsid w:val="00605734"/>
    <w:rsid w:val="006B41BD"/>
    <w:rsid w:val="00700141"/>
    <w:rsid w:val="00724373"/>
    <w:rsid w:val="00746256"/>
    <w:rsid w:val="00776034"/>
    <w:rsid w:val="007C6969"/>
    <w:rsid w:val="007C74F0"/>
    <w:rsid w:val="008B399C"/>
    <w:rsid w:val="00AB39DF"/>
    <w:rsid w:val="00C0200A"/>
    <w:rsid w:val="00C315C4"/>
    <w:rsid w:val="00C36652"/>
    <w:rsid w:val="00C41561"/>
    <w:rsid w:val="00C47940"/>
    <w:rsid w:val="00D119CD"/>
    <w:rsid w:val="00DB21B5"/>
    <w:rsid w:val="00E80E73"/>
    <w:rsid w:val="00EB0371"/>
    <w:rsid w:val="00F1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B177"/>
  <w15:chartTrackingRefBased/>
  <w15:docId w15:val="{192C14CD-BA07-4397-ADCB-676D3846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B77"/>
  </w:style>
  <w:style w:type="paragraph" w:styleId="Heading1">
    <w:name w:val="heading 1"/>
    <w:basedOn w:val="Normal"/>
    <w:next w:val="Normal"/>
    <w:link w:val="Heading1Char"/>
    <w:uiPriority w:val="9"/>
    <w:qFormat/>
    <w:rsid w:val="003F0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B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B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B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B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B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B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B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B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B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B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B7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0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B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79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zaefe1dfb8fd4b14a89a313033343036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9</cp:revision>
  <dcterms:created xsi:type="dcterms:W3CDTF">2025-07-17T07:40:00Z</dcterms:created>
  <dcterms:modified xsi:type="dcterms:W3CDTF">2025-07-18T09:29:00Z</dcterms:modified>
</cp:coreProperties>
</file>