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6AE953" w14:textId="77777777" w:rsidR="004C374E" w:rsidRDefault="004C374E" w:rsidP="004C374E">
      <w:pPr>
        <w:spacing w:after="0"/>
        <w:jc w:val="both"/>
        <w:rPr>
          <w:rFonts w:ascii="Arial" w:hAnsi="Arial" w:cs="Arial"/>
          <w:noProof/>
          <w:sz w:val="24"/>
          <w:szCs w:val="24"/>
        </w:rPr>
      </w:pPr>
      <w:r w:rsidRPr="008D1C7C">
        <w:rPr>
          <w:rFonts w:ascii="Arial" w:hAnsi="Arial" w:cs="Arial"/>
          <w:b/>
          <w:bCs/>
          <w:noProof/>
          <w:sz w:val="24"/>
          <w:szCs w:val="24"/>
        </w:rPr>
        <w:t>Pencerahan Hukum</w:t>
      </w:r>
      <w:r>
        <w:rPr>
          <w:rFonts w:ascii="Arial" w:hAnsi="Arial" w:cs="Arial"/>
          <w:noProof/>
          <w:sz w:val="24"/>
          <w:szCs w:val="24"/>
        </w:rPr>
        <w:t xml:space="preserve"> </w:t>
      </w:r>
      <w:r>
        <w:rPr>
          <w:rFonts w:ascii="Arial" w:hAnsi="Arial" w:cs="Arial"/>
          <w:b/>
          <w:bCs/>
          <w:noProof/>
          <w:sz w:val="24"/>
          <w:szCs w:val="24"/>
        </w:rPr>
        <w:t>Hari Ini</w:t>
      </w:r>
    </w:p>
    <w:p w14:paraId="4285CCD3" w14:textId="573E188C" w:rsidR="004C374E" w:rsidRDefault="00B30994" w:rsidP="004C374E">
      <w:pPr>
        <w:jc w:val="both"/>
        <w:rPr>
          <w:rFonts w:ascii="Arial" w:hAnsi="Arial" w:cs="Arial"/>
          <w:b/>
          <w:bCs/>
          <w:noProof/>
          <w:sz w:val="24"/>
          <w:szCs w:val="24"/>
        </w:rPr>
      </w:pPr>
      <w:r>
        <w:rPr>
          <w:rFonts w:ascii="Arial" w:hAnsi="Arial" w:cs="Arial"/>
          <w:b/>
          <w:bCs/>
          <w:noProof/>
          <w:sz w:val="24"/>
          <w:szCs w:val="24"/>
        </w:rPr>
        <w:t>Rabu</w:t>
      </w:r>
      <w:r w:rsidR="00AA6FFD">
        <w:rPr>
          <w:rFonts w:ascii="Arial" w:hAnsi="Arial" w:cs="Arial"/>
          <w:b/>
          <w:bCs/>
          <w:noProof/>
          <w:sz w:val="24"/>
          <w:szCs w:val="24"/>
        </w:rPr>
        <w:t>, 1</w:t>
      </w:r>
      <w:r>
        <w:rPr>
          <w:rFonts w:ascii="Arial" w:hAnsi="Arial" w:cs="Arial"/>
          <w:b/>
          <w:bCs/>
          <w:noProof/>
          <w:sz w:val="24"/>
          <w:szCs w:val="24"/>
        </w:rPr>
        <w:t>4</w:t>
      </w:r>
      <w:r w:rsidR="00AA6FFD">
        <w:rPr>
          <w:rFonts w:ascii="Arial" w:hAnsi="Arial" w:cs="Arial"/>
          <w:b/>
          <w:bCs/>
          <w:noProof/>
          <w:sz w:val="24"/>
          <w:szCs w:val="24"/>
        </w:rPr>
        <w:t xml:space="preserve"> Ja</w:t>
      </w:r>
      <w:r w:rsidR="00CD55D6">
        <w:rPr>
          <w:rFonts w:ascii="Arial" w:hAnsi="Arial" w:cs="Arial"/>
          <w:b/>
          <w:bCs/>
          <w:noProof/>
          <w:sz w:val="24"/>
          <w:szCs w:val="24"/>
        </w:rPr>
        <w:t>n</w:t>
      </w:r>
      <w:r w:rsidR="00AA6FFD">
        <w:rPr>
          <w:rFonts w:ascii="Arial" w:hAnsi="Arial" w:cs="Arial"/>
          <w:b/>
          <w:bCs/>
          <w:noProof/>
          <w:sz w:val="24"/>
          <w:szCs w:val="24"/>
        </w:rPr>
        <w:t>uari 2026</w:t>
      </w:r>
    </w:p>
    <w:p w14:paraId="220F92EC" w14:textId="66DA12CC" w:rsidR="004C374E" w:rsidRDefault="007C1CE6" w:rsidP="004C374E">
      <w:pPr>
        <w:jc w:val="both"/>
        <w:rPr>
          <w:rFonts w:ascii="Arial" w:hAnsi="Arial" w:cs="Arial"/>
          <w:b/>
          <w:bCs/>
          <w:noProof/>
          <w:sz w:val="24"/>
          <w:szCs w:val="24"/>
        </w:rPr>
      </w:pPr>
      <w:r>
        <w:rPr>
          <w:rFonts w:ascii="Arial" w:hAnsi="Arial" w:cs="Arial"/>
          <w:b/>
          <w:bCs/>
          <w:noProof/>
          <w:sz w:val="24"/>
          <w:szCs w:val="24"/>
        </w:rPr>
        <w:t xml:space="preserve">MAJELIS HAKIM MENILAI : PENETAPAN PEMENANG TENDER MELALUI </w:t>
      </w:r>
      <w:r w:rsidR="00582295">
        <w:rPr>
          <w:rFonts w:ascii="Arial" w:hAnsi="Arial" w:cs="Arial"/>
          <w:b/>
          <w:bCs/>
          <w:noProof/>
          <w:sz w:val="24"/>
          <w:szCs w:val="24"/>
        </w:rPr>
        <w:t xml:space="preserve">EVALUASI PENAWARAN ULANG TANPA </w:t>
      </w:r>
      <w:r>
        <w:rPr>
          <w:rFonts w:ascii="Arial" w:hAnsi="Arial" w:cs="Arial"/>
          <w:b/>
          <w:bCs/>
          <w:noProof/>
          <w:sz w:val="24"/>
          <w:szCs w:val="24"/>
        </w:rPr>
        <w:t>MENYATAKAN</w:t>
      </w:r>
      <w:r w:rsidR="00582295">
        <w:rPr>
          <w:rFonts w:ascii="Arial" w:hAnsi="Arial" w:cs="Arial"/>
          <w:b/>
          <w:bCs/>
          <w:noProof/>
          <w:sz w:val="24"/>
          <w:szCs w:val="24"/>
        </w:rPr>
        <w:t xml:space="preserve"> TENDER </w:t>
      </w:r>
      <w:r>
        <w:rPr>
          <w:rFonts w:ascii="Arial" w:hAnsi="Arial" w:cs="Arial"/>
          <w:b/>
          <w:bCs/>
          <w:noProof/>
          <w:sz w:val="24"/>
          <w:szCs w:val="24"/>
        </w:rPr>
        <w:t xml:space="preserve">SEBELUMNYA </w:t>
      </w:r>
      <w:r w:rsidR="00582295">
        <w:rPr>
          <w:rFonts w:ascii="Arial" w:hAnsi="Arial" w:cs="Arial"/>
          <w:b/>
          <w:bCs/>
          <w:noProof/>
          <w:sz w:val="24"/>
          <w:szCs w:val="24"/>
        </w:rPr>
        <w:t xml:space="preserve">GAGAL DALAM </w:t>
      </w:r>
      <w:r w:rsidR="00582295" w:rsidRPr="00582295">
        <w:rPr>
          <w:rFonts w:ascii="Arial" w:hAnsi="Arial" w:cs="Arial"/>
          <w:b/>
          <w:bCs/>
          <w:i/>
          <w:iCs/>
          <w:noProof/>
          <w:sz w:val="24"/>
          <w:szCs w:val="24"/>
        </w:rPr>
        <w:t>SUMMARY REPORT</w:t>
      </w:r>
      <w:r>
        <w:rPr>
          <w:rFonts w:ascii="Arial" w:hAnsi="Arial" w:cs="Arial"/>
          <w:b/>
          <w:bCs/>
          <w:noProof/>
          <w:sz w:val="24"/>
          <w:szCs w:val="24"/>
        </w:rPr>
        <w:t xml:space="preserve"> </w:t>
      </w:r>
      <w:r w:rsidR="00AA000A">
        <w:rPr>
          <w:rFonts w:ascii="Arial" w:hAnsi="Arial" w:cs="Arial"/>
          <w:b/>
          <w:bCs/>
          <w:noProof/>
          <w:sz w:val="24"/>
          <w:szCs w:val="24"/>
        </w:rPr>
        <w:t xml:space="preserve">ADALAH CACAT YURIDIS </w:t>
      </w:r>
      <w:r>
        <w:rPr>
          <w:rFonts w:ascii="Arial" w:hAnsi="Arial" w:cs="Arial"/>
          <w:b/>
          <w:bCs/>
          <w:noProof/>
          <w:sz w:val="24"/>
          <w:szCs w:val="24"/>
        </w:rPr>
        <w:t xml:space="preserve">DARI SEGI PROSEDURAL </w:t>
      </w:r>
    </w:p>
    <w:p w14:paraId="311B90F4" w14:textId="77777777" w:rsidR="00465CAF" w:rsidRDefault="007402A0" w:rsidP="004C374E">
      <w:pPr>
        <w:jc w:val="both"/>
        <w:rPr>
          <w:rFonts w:ascii="Arial" w:hAnsi="Arial" w:cs="Arial"/>
          <w:noProof/>
          <w:sz w:val="24"/>
          <w:szCs w:val="24"/>
        </w:rPr>
      </w:pPr>
      <w:r>
        <w:rPr>
          <w:rFonts w:ascii="Arial" w:hAnsi="Arial" w:cs="Arial"/>
          <w:noProof/>
          <w:sz w:val="24"/>
          <w:szCs w:val="24"/>
        </w:rPr>
        <w:t xml:space="preserve">PT Berkah Bersama Kontraktor </w:t>
      </w:r>
      <w:r w:rsidR="007855ED">
        <w:rPr>
          <w:rFonts w:ascii="Arial" w:hAnsi="Arial" w:cs="Arial"/>
          <w:noProof/>
          <w:sz w:val="24"/>
          <w:szCs w:val="24"/>
        </w:rPr>
        <w:t xml:space="preserve">(Penggugat) </w:t>
      </w:r>
      <w:r>
        <w:rPr>
          <w:rFonts w:ascii="Arial" w:hAnsi="Arial" w:cs="Arial"/>
          <w:noProof/>
          <w:sz w:val="24"/>
          <w:szCs w:val="24"/>
        </w:rPr>
        <w:t xml:space="preserve">mengajukan gugatan ke PTUN Pekanbaru terhadap Pokja Pemilihan </w:t>
      </w:r>
      <w:r w:rsidR="007855ED">
        <w:rPr>
          <w:rFonts w:ascii="Arial" w:hAnsi="Arial" w:cs="Arial"/>
          <w:noProof/>
          <w:sz w:val="24"/>
          <w:szCs w:val="24"/>
        </w:rPr>
        <w:t xml:space="preserve">(Tergugat) </w:t>
      </w:r>
      <w:r>
        <w:rPr>
          <w:rFonts w:ascii="Arial" w:hAnsi="Arial" w:cs="Arial"/>
          <w:noProof/>
          <w:sz w:val="24"/>
          <w:szCs w:val="24"/>
        </w:rPr>
        <w:t xml:space="preserve">dalam </w:t>
      </w:r>
      <w:r w:rsidR="007855ED">
        <w:rPr>
          <w:rFonts w:ascii="Arial" w:hAnsi="Arial" w:cs="Arial"/>
          <w:noProof/>
          <w:sz w:val="24"/>
          <w:szCs w:val="24"/>
        </w:rPr>
        <w:t xml:space="preserve">tender </w:t>
      </w:r>
      <w:r>
        <w:rPr>
          <w:rFonts w:ascii="Arial" w:hAnsi="Arial" w:cs="Arial"/>
          <w:noProof/>
          <w:sz w:val="24"/>
          <w:szCs w:val="24"/>
        </w:rPr>
        <w:t xml:space="preserve">Pengadaan Pemasangan Lampu Hias Jalan di Kabupaten Rokan Hilir dan Kota Dumai T.A 2019. </w:t>
      </w:r>
    </w:p>
    <w:p w14:paraId="3C1B9E5E" w14:textId="629EB1A2" w:rsidR="00535447" w:rsidRDefault="007105C5" w:rsidP="00535447">
      <w:pPr>
        <w:jc w:val="both"/>
        <w:rPr>
          <w:rFonts w:ascii="Arial" w:hAnsi="Arial" w:cs="Arial"/>
          <w:noProof/>
          <w:sz w:val="24"/>
          <w:szCs w:val="24"/>
        </w:rPr>
      </w:pPr>
      <w:r>
        <w:rPr>
          <w:rFonts w:ascii="Arial" w:hAnsi="Arial" w:cs="Arial"/>
          <w:noProof/>
          <w:sz w:val="24"/>
          <w:szCs w:val="24"/>
        </w:rPr>
        <w:t xml:space="preserve">Objek sengketa </w:t>
      </w:r>
      <w:r w:rsidR="00CD55D6">
        <w:rPr>
          <w:rFonts w:ascii="Arial" w:hAnsi="Arial" w:cs="Arial"/>
          <w:noProof/>
          <w:sz w:val="24"/>
          <w:szCs w:val="24"/>
        </w:rPr>
        <w:t xml:space="preserve">berupa </w:t>
      </w:r>
      <w:r w:rsidR="007855ED">
        <w:rPr>
          <w:rFonts w:ascii="Arial" w:hAnsi="Arial" w:cs="Arial"/>
          <w:noProof/>
          <w:sz w:val="24"/>
          <w:szCs w:val="24"/>
        </w:rPr>
        <w:t xml:space="preserve">pengumuman pemenang tender </w:t>
      </w:r>
      <w:r w:rsidR="0094112B">
        <w:rPr>
          <w:rFonts w:ascii="Arial" w:hAnsi="Arial" w:cs="Arial"/>
          <w:noProof/>
          <w:sz w:val="24"/>
          <w:szCs w:val="24"/>
        </w:rPr>
        <w:t>atas nama</w:t>
      </w:r>
      <w:r w:rsidR="00465CAF">
        <w:rPr>
          <w:rFonts w:ascii="Arial" w:hAnsi="Arial" w:cs="Arial"/>
          <w:noProof/>
          <w:sz w:val="24"/>
          <w:szCs w:val="24"/>
        </w:rPr>
        <w:t xml:space="preserve"> </w:t>
      </w:r>
      <w:r w:rsidR="00C705B1">
        <w:rPr>
          <w:rFonts w:ascii="Arial" w:hAnsi="Arial" w:cs="Arial"/>
          <w:noProof/>
          <w:sz w:val="24"/>
          <w:szCs w:val="24"/>
        </w:rPr>
        <w:t>PT. Era Liardy Hafza (Tergugat II Intervensi)</w:t>
      </w:r>
      <w:r w:rsidR="00AB43A4">
        <w:rPr>
          <w:rFonts w:ascii="Arial" w:hAnsi="Arial" w:cs="Arial"/>
          <w:noProof/>
          <w:sz w:val="24"/>
          <w:szCs w:val="24"/>
        </w:rPr>
        <w:t xml:space="preserve">. Sebelum </w:t>
      </w:r>
      <w:r w:rsidR="0094112B">
        <w:rPr>
          <w:rFonts w:ascii="Arial" w:hAnsi="Arial" w:cs="Arial"/>
          <w:noProof/>
          <w:sz w:val="24"/>
          <w:szCs w:val="24"/>
        </w:rPr>
        <w:t>itu,</w:t>
      </w:r>
      <w:r w:rsidR="003B40F9">
        <w:rPr>
          <w:rFonts w:ascii="Arial" w:hAnsi="Arial" w:cs="Arial"/>
          <w:noProof/>
          <w:sz w:val="24"/>
          <w:szCs w:val="24"/>
        </w:rPr>
        <w:t xml:space="preserve"> </w:t>
      </w:r>
      <w:r w:rsidR="0094112B">
        <w:rPr>
          <w:rFonts w:ascii="Arial" w:hAnsi="Arial" w:cs="Arial"/>
          <w:noProof/>
          <w:sz w:val="24"/>
          <w:szCs w:val="24"/>
        </w:rPr>
        <w:t>Tergugat mengumumkan bahwa</w:t>
      </w:r>
      <w:r w:rsidR="00AB43A4">
        <w:rPr>
          <w:rFonts w:ascii="Arial" w:hAnsi="Arial" w:cs="Arial"/>
          <w:noProof/>
          <w:sz w:val="24"/>
          <w:szCs w:val="24"/>
        </w:rPr>
        <w:t xml:space="preserve"> </w:t>
      </w:r>
      <w:r w:rsidR="0094112B">
        <w:rPr>
          <w:rFonts w:ascii="Arial" w:hAnsi="Arial" w:cs="Arial"/>
          <w:noProof/>
          <w:sz w:val="24"/>
          <w:szCs w:val="24"/>
        </w:rPr>
        <w:t>Penggugat</w:t>
      </w:r>
      <w:r w:rsidR="00CD55D6">
        <w:rPr>
          <w:rFonts w:ascii="Arial" w:hAnsi="Arial" w:cs="Arial"/>
          <w:noProof/>
          <w:sz w:val="24"/>
          <w:szCs w:val="24"/>
        </w:rPr>
        <w:t xml:space="preserve"> sebagai </w:t>
      </w:r>
      <w:r w:rsidR="000259EC">
        <w:rPr>
          <w:rFonts w:ascii="Arial" w:hAnsi="Arial" w:cs="Arial"/>
          <w:noProof/>
          <w:sz w:val="24"/>
          <w:szCs w:val="24"/>
        </w:rPr>
        <w:t>pemenang  tender</w:t>
      </w:r>
      <w:r w:rsidR="0094112B">
        <w:rPr>
          <w:rFonts w:ascii="Arial" w:hAnsi="Arial" w:cs="Arial"/>
          <w:noProof/>
          <w:sz w:val="24"/>
          <w:szCs w:val="24"/>
        </w:rPr>
        <w:t xml:space="preserve">. Akan </w:t>
      </w:r>
      <w:r w:rsidR="00783FCC">
        <w:rPr>
          <w:rFonts w:ascii="Arial" w:hAnsi="Arial" w:cs="Arial"/>
          <w:noProof/>
          <w:sz w:val="24"/>
          <w:szCs w:val="24"/>
        </w:rPr>
        <w:t xml:space="preserve">tetapi Tergugat II </w:t>
      </w:r>
      <w:r w:rsidR="00B30994">
        <w:rPr>
          <w:rFonts w:ascii="Arial" w:hAnsi="Arial" w:cs="Arial"/>
          <w:noProof/>
          <w:sz w:val="24"/>
          <w:szCs w:val="24"/>
        </w:rPr>
        <w:t>Intervens</w:t>
      </w:r>
      <w:r w:rsidR="00B30994">
        <w:rPr>
          <w:rFonts w:ascii="Arial" w:hAnsi="Arial" w:cs="Arial"/>
          <w:noProof/>
          <w:sz w:val="24"/>
          <w:szCs w:val="24"/>
        </w:rPr>
        <w:t xml:space="preserve">i </w:t>
      </w:r>
      <w:r w:rsidR="00783FCC">
        <w:rPr>
          <w:rFonts w:ascii="Arial" w:hAnsi="Arial" w:cs="Arial"/>
          <w:noProof/>
          <w:sz w:val="24"/>
          <w:szCs w:val="24"/>
        </w:rPr>
        <w:t xml:space="preserve">mengajukan sanggah </w:t>
      </w:r>
      <w:r w:rsidR="00535447">
        <w:rPr>
          <w:rFonts w:ascii="Arial" w:hAnsi="Arial" w:cs="Arial"/>
          <w:noProof/>
          <w:sz w:val="24"/>
          <w:szCs w:val="24"/>
        </w:rPr>
        <w:t xml:space="preserve">terkait Sisa Kemampuan Paket (SKP) sehingga Penggugat digugurkan </w:t>
      </w:r>
      <w:r w:rsidR="00C52DF0">
        <w:rPr>
          <w:rFonts w:ascii="Arial" w:hAnsi="Arial" w:cs="Arial"/>
          <w:noProof/>
          <w:sz w:val="24"/>
          <w:szCs w:val="24"/>
        </w:rPr>
        <w:t xml:space="preserve">oleh </w:t>
      </w:r>
      <w:r w:rsidR="00535447">
        <w:rPr>
          <w:rFonts w:ascii="Arial" w:hAnsi="Arial" w:cs="Arial"/>
          <w:noProof/>
          <w:sz w:val="24"/>
          <w:szCs w:val="24"/>
        </w:rPr>
        <w:t>Tergugat</w:t>
      </w:r>
      <w:r w:rsidR="00CD55D6">
        <w:rPr>
          <w:rFonts w:ascii="Arial" w:hAnsi="Arial" w:cs="Arial"/>
          <w:noProof/>
          <w:sz w:val="24"/>
          <w:szCs w:val="24"/>
        </w:rPr>
        <w:t>.</w:t>
      </w:r>
    </w:p>
    <w:p w14:paraId="11E27D90" w14:textId="3F0EBC03" w:rsidR="00B45FF6" w:rsidRDefault="000259EC" w:rsidP="00695DE6">
      <w:pPr>
        <w:jc w:val="both"/>
        <w:rPr>
          <w:rFonts w:ascii="Arial" w:hAnsi="Arial" w:cs="Arial"/>
          <w:noProof/>
          <w:sz w:val="24"/>
          <w:szCs w:val="24"/>
        </w:rPr>
      </w:pPr>
      <w:r>
        <w:rPr>
          <w:rFonts w:ascii="Arial" w:hAnsi="Arial" w:cs="Arial"/>
          <w:noProof/>
          <w:sz w:val="24"/>
          <w:szCs w:val="24"/>
        </w:rPr>
        <w:t>Majelis Hakim PTUN Pekanbaru setelah menimbang semua bukti dan peraturan yang berlaku, menilai bahwa penerbitan objek sengketa dari segi prosedur dan substansi adalah cacat yuridis. Majelis menyatakan bahwa jenis tender adalah Pengadaan Barang, bukan Pekerjaan Konstruksi sehingga SKP tidak dapat digunakan menjadi aturan dasar dalam tender.</w:t>
      </w:r>
      <w:r w:rsidR="00695DE6">
        <w:rPr>
          <w:rFonts w:ascii="Arial" w:hAnsi="Arial" w:cs="Arial"/>
          <w:noProof/>
          <w:sz w:val="24"/>
          <w:szCs w:val="24"/>
        </w:rPr>
        <w:t xml:space="preserve"> </w:t>
      </w:r>
      <w:r>
        <w:rPr>
          <w:rFonts w:ascii="Arial" w:hAnsi="Arial" w:cs="Arial"/>
          <w:noProof/>
          <w:sz w:val="24"/>
          <w:szCs w:val="24"/>
        </w:rPr>
        <w:t xml:space="preserve">Di </w:t>
      </w:r>
      <w:r w:rsidR="00B45FF6">
        <w:rPr>
          <w:rFonts w:ascii="Arial" w:hAnsi="Arial" w:cs="Arial"/>
          <w:noProof/>
          <w:sz w:val="24"/>
          <w:szCs w:val="24"/>
        </w:rPr>
        <w:t>samping</w:t>
      </w:r>
      <w:r>
        <w:rPr>
          <w:rFonts w:ascii="Arial" w:hAnsi="Arial" w:cs="Arial"/>
          <w:noProof/>
          <w:sz w:val="24"/>
          <w:szCs w:val="24"/>
        </w:rPr>
        <w:t xml:space="preserve"> itu, SKN (Sisa Kemampuan Nyata) Penggugat </w:t>
      </w:r>
      <w:r w:rsidR="00B45FF6">
        <w:rPr>
          <w:rFonts w:ascii="Arial" w:hAnsi="Arial" w:cs="Arial"/>
          <w:noProof/>
          <w:sz w:val="24"/>
          <w:szCs w:val="24"/>
        </w:rPr>
        <w:t>melalui audit kemampuan keuangan akuntan publik dinyatakan sanggup mengerjakan tender</w:t>
      </w:r>
      <w:r w:rsidR="00695DE6">
        <w:rPr>
          <w:rFonts w:ascii="Arial" w:hAnsi="Arial" w:cs="Arial"/>
          <w:noProof/>
          <w:sz w:val="24"/>
          <w:szCs w:val="24"/>
        </w:rPr>
        <w:t>.</w:t>
      </w:r>
    </w:p>
    <w:p w14:paraId="6FC42408" w14:textId="67BDB063" w:rsidR="000259EC" w:rsidRDefault="00B45FF6" w:rsidP="00535447">
      <w:pPr>
        <w:jc w:val="both"/>
        <w:rPr>
          <w:rFonts w:ascii="Arial" w:hAnsi="Arial" w:cs="Arial"/>
          <w:noProof/>
          <w:sz w:val="24"/>
          <w:szCs w:val="24"/>
        </w:rPr>
      </w:pPr>
      <w:r>
        <w:rPr>
          <w:rFonts w:ascii="Arial" w:hAnsi="Arial" w:cs="Arial"/>
          <w:noProof/>
          <w:sz w:val="24"/>
          <w:szCs w:val="24"/>
        </w:rPr>
        <w:t xml:space="preserve">Majelis Hakim </w:t>
      </w:r>
      <w:r w:rsidR="00CD55D6">
        <w:rPr>
          <w:rFonts w:ascii="Arial" w:hAnsi="Arial" w:cs="Arial"/>
          <w:noProof/>
          <w:sz w:val="24"/>
          <w:szCs w:val="24"/>
        </w:rPr>
        <w:t xml:space="preserve">juga </w:t>
      </w:r>
      <w:r>
        <w:rPr>
          <w:rFonts w:ascii="Arial" w:hAnsi="Arial" w:cs="Arial"/>
          <w:noProof/>
          <w:sz w:val="24"/>
          <w:szCs w:val="24"/>
        </w:rPr>
        <w:t xml:space="preserve">menemukan fakta bahwa Tergugat tidak menyatakan tender gagal pada </w:t>
      </w:r>
      <w:r w:rsidRPr="00CD55D6">
        <w:rPr>
          <w:rFonts w:ascii="Arial" w:hAnsi="Arial" w:cs="Arial"/>
          <w:i/>
          <w:iCs/>
          <w:noProof/>
          <w:sz w:val="24"/>
          <w:szCs w:val="24"/>
        </w:rPr>
        <w:t>Summary Report</w:t>
      </w:r>
      <w:r>
        <w:rPr>
          <w:rFonts w:ascii="Arial" w:hAnsi="Arial" w:cs="Arial"/>
          <w:noProof/>
          <w:sz w:val="24"/>
          <w:szCs w:val="24"/>
        </w:rPr>
        <w:t xml:space="preserve"> dan langsung melakukan evaluasi penawaran ulang dengan menetapkan Tergugat II Intervensi sebagai pemenang </w:t>
      </w:r>
      <w:r w:rsidR="00CD55D6">
        <w:rPr>
          <w:rFonts w:ascii="Arial" w:hAnsi="Arial" w:cs="Arial"/>
          <w:noProof/>
          <w:sz w:val="24"/>
          <w:szCs w:val="24"/>
        </w:rPr>
        <w:t>sehingga</w:t>
      </w:r>
      <w:r w:rsidR="007C3F5F">
        <w:rPr>
          <w:rFonts w:ascii="Arial" w:hAnsi="Arial" w:cs="Arial"/>
          <w:noProof/>
          <w:sz w:val="24"/>
          <w:szCs w:val="24"/>
        </w:rPr>
        <w:t xml:space="preserve"> dipandang Majelis Hakim dari segi prosedural adalah cacat yuridis dan bertentangan dengan Pasal 51 ayat (3) dan Pasal 51 ayat (6) huruf (a) Perpres No. 16 Tahun 2018.</w:t>
      </w:r>
    </w:p>
    <w:p w14:paraId="3E9F25E5" w14:textId="60E27390" w:rsidR="007855ED" w:rsidRPr="007402A0" w:rsidRDefault="007C3F5F" w:rsidP="007C3F5F">
      <w:pPr>
        <w:jc w:val="both"/>
        <w:rPr>
          <w:rFonts w:ascii="Arial" w:hAnsi="Arial" w:cs="Arial"/>
          <w:noProof/>
          <w:sz w:val="24"/>
          <w:szCs w:val="24"/>
        </w:rPr>
      </w:pPr>
      <w:r>
        <w:rPr>
          <w:rFonts w:ascii="Arial" w:hAnsi="Arial" w:cs="Arial"/>
          <w:noProof/>
          <w:sz w:val="24"/>
          <w:szCs w:val="24"/>
        </w:rPr>
        <w:t>Dalam putusannya Mejelis</w:t>
      </w:r>
      <w:r w:rsidR="00935F55">
        <w:rPr>
          <w:rFonts w:ascii="Arial" w:hAnsi="Arial" w:cs="Arial"/>
          <w:noProof/>
          <w:sz w:val="24"/>
          <w:szCs w:val="24"/>
        </w:rPr>
        <w:t xml:space="preserve"> Hakim</w:t>
      </w:r>
      <w:r>
        <w:rPr>
          <w:rFonts w:ascii="Arial" w:hAnsi="Arial" w:cs="Arial"/>
          <w:noProof/>
          <w:sz w:val="24"/>
          <w:szCs w:val="24"/>
        </w:rPr>
        <w:t xml:space="preserve"> mengabulkan gugatan Penggugat seluruhnya dan memerintahkan Tergugat untuk menetapkan Penggugat sebagai pemenang tender. Putusan ini dikuatkan oleh PT TUN Medan di tingkat Banding. Di tingkat Kasasi Majelis Hakim Agung juga menimbang bahwa putusan Judex Facti sudah benar dan tidak terdapat kes</w:t>
      </w:r>
      <w:r w:rsidR="00025DB8">
        <w:rPr>
          <w:rFonts w:ascii="Arial" w:hAnsi="Arial" w:cs="Arial"/>
          <w:noProof/>
          <w:sz w:val="24"/>
          <w:szCs w:val="24"/>
        </w:rPr>
        <w:t>a</w:t>
      </w:r>
      <w:r>
        <w:rPr>
          <w:rFonts w:ascii="Arial" w:hAnsi="Arial" w:cs="Arial"/>
          <w:noProof/>
          <w:sz w:val="24"/>
          <w:szCs w:val="24"/>
        </w:rPr>
        <w:t xml:space="preserve">lahan penerapan hukum. </w:t>
      </w:r>
    </w:p>
    <w:p w14:paraId="5215789E" w14:textId="2BB629A2" w:rsidR="004C374E" w:rsidRPr="0013032D" w:rsidRDefault="004C374E" w:rsidP="004C374E">
      <w:pPr>
        <w:jc w:val="both"/>
        <w:rPr>
          <w:rFonts w:ascii="Arial" w:hAnsi="Arial" w:cs="Arial"/>
          <w:b/>
          <w:bCs/>
          <w:noProof/>
          <w:sz w:val="24"/>
          <w:szCs w:val="24"/>
        </w:rPr>
      </w:pPr>
    </w:p>
    <w:p w14:paraId="1CC1254F" w14:textId="544C71F9" w:rsidR="004C374E" w:rsidRDefault="004C374E" w:rsidP="004C374E">
      <w:pPr>
        <w:jc w:val="both"/>
        <w:rPr>
          <w:rFonts w:ascii="Arial" w:hAnsi="Arial" w:cs="Arial"/>
          <w:noProof/>
          <w:sz w:val="24"/>
          <w:szCs w:val="24"/>
        </w:rPr>
      </w:pPr>
      <w:r>
        <w:rPr>
          <w:rFonts w:ascii="Arial" w:hAnsi="Arial" w:cs="Arial"/>
          <w:noProof/>
          <w:sz w:val="24"/>
          <w:szCs w:val="24"/>
        </w:rPr>
        <w:t xml:space="preserve">→ Putusan Mahkamah Agung Nomor </w:t>
      </w:r>
      <w:r w:rsidR="006111F1">
        <w:rPr>
          <w:rFonts w:ascii="Arial" w:hAnsi="Arial" w:cs="Arial"/>
          <w:noProof/>
          <w:sz w:val="24"/>
          <w:szCs w:val="24"/>
        </w:rPr>
        <w:t>368 K/TUN/2020</w:t>
      </w:r>
      <w:r>
        <w:rPr>
          <w:rFonts w:ascii="Arial" w:hAnsi="Arial" w:cs="Arial"/>
          <w:noProof/>
          <w:sz w:val="24"/>
          <w:szCs w:val="24"/>
        </w:rPr>
        <w:t xml:space="preserve">, Tanggal </w:t>
      </w:r>
      <w:r w:rsidR="006111F1">
        <w:rPr>
          <w:rFonts w:ascii="Arial" w:hAnsi="Arial" w:cs="Arial"/>
          <w:noProof/>
          <w:sz w:val="24"/>
          <w:szCs w:val="24"/>
        </w:rPr>
        <w:t>28 September 2020</w:t>
      </w:r>
    </w:p>
    <w:p w14:paraId="38C10E5B" w14:textId="61A34E07" w:rsidR="004C374E" w:rsidRPr="00151CCB" w:rsidRDefault="004C374E" w:rsidP="004C374E">
      <w:pPr>
        <w:jc w:val="both"/>
        <w:rPr>
          <w:rFonts w:ascii="Arial" w:hAnsi="Arial" w:cs="Arial"/>
          <w:sz w:val="24"/>
          <w:szCs w:val="24"/>
        </w:rPr>
      </w:pPr>
      <w:r w:rsidRPr="00151CCB">
        <w:rPr>
          <w:rFonts w:ascii="Arial" w:hAnsi="Arial" w:cs="Arial"/>
          <w:noProof/>
          <w:sz w:val="24"/>
          <w:szCs w:val="24"/>
        </w:rPr>
        <w:t xml:space="preserve">Sumber: </w:t>
      </w:r>
      <w:hyperlink r:id="rId4" w:history="1">
        <w:r w:rsidRPr="00134F70">
          <w:rPr>
            <w:rStyle w:val="Hyperlink"/>
            <w:rFonts w:ascii="Arial" w:hAnsi="Arial" w:cs="Arial"/>
            <w:noProof/>
            <w:sz w:val="24"/>
            <w:szCs w:val="24"/>
          </w:rPr>
          <w:t>https://putusan3.mahkamahagung.go.id/direktori/putusan/zaec436ed88061aa9473313131333039.html</w:t>
        </w:r>
      </w:hyperlink>
      <w:r>
        <w:rPr>
          <w:rFonts w:ascii="Arial" w:hAnsi="Arial" w:cs="Arial"/>
          <w:noProof/>
          <w:sz w:val="24"/>
          <w:szCs w:val="24"/>
        </w:rPr>
        <w:t xml:space="preserve"> </w:t>
      </w:r>
    </w:p>
    <w:p w14:paraId="61509DE9" w14:textId="77777777" w:rsidR="004C374E" w:rsidRPr="00251753" w:rsidRDefault="004C374E" w:rsidP="004C374E">
      <w:pPr>
        <w:jc w:val="both"/>
      </w:pPr>
    </w:p>
    <w:p w14:paraId="6CC6E037" w14:textId="77777777" w:rsidR="004C374E" w:rsidRDefault="004C374E" w:rsidP="004C374E">
      <w:pPr>
        <w:spacing w:after="0"/>
        <w:jc w:val="both"/>
        <w:rPr>
          <w:rFonts w:ascii="Arial" w:hAnsi="Arial" w:cs="Arial"/>
          <w:noProof/>
          <w:sz w:val="24"/>
          <w:szCs w:val="24"/>
        </w:rPr>
      </w:pPr>
      <w:r>
        <w:rPr>
          <w:rFonts w:ascii="Arial" w:hAnsi="Arial" w:cs="Arial"/>
          <w:noProof/>
          <w:sz w:val="24"/>
          <w:szCs w:val="24"/>
        </w:rPr>
        <w:t>Salam Pengadaan,</w:t>
      </w:r>
    </w:p>
    <w:p w14:paraId="24947F64" w14:textId="77777777" w:rsidR="004C374E" w:rsidRDefault="004C374E" w:rsidP="004C374E">
      <w:pPr>
        <w:spacing w:after="0"/>
        <w:jc w:val="both"/>
        <w:rPr>
          <w:rFonts w:ascii="Arial" w:hAnsi="Arial" w:cs="Arial"/>
          <w:noProof/>
          <w:sz w:val="24"/>
          <w:szCs w:val="24"/>
        </w:rPr>
      </w:pPr>
      <w:r>
        <w:rPr>
          <w:rFonts w:ascii="Arial" w:hAnsi="Arial" w:cs="Arial"/>
          <w:noProof/>
          <w:sz w:val="24"/>
          <w:szCs w:val="24"/>
        </w:rPr>
        <w:t>LBH Pengadaan Publik Indonesia</w:t>
      </w:r>
    </w:p>
    <w:p w14:paraId="50BE0BCE" w14:textId="77777777" w:rsidR="007C6969" w:rsidRDefault="007C6969"/>
    <w:sectPr w:rsidR="007C696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74E"/>
    <w:rsid w:val="000259EC"/>
    <w:rsid w:val="00025DB8"/>
    <w:rsid w:val="000B30AC"/>
    <w:rsid w:val="002154E8"/>
    <w:rsid w:val="00261F89"/>
    <w:rsid w:val="0029496F"/>
    <w:rsid w:val="00322EB5"/>
    <w:rsid w:val="003B40F9"/>
    <w:rsid w:val="003B4F92"/>
    <w:rsid w:val="003D41DA"/>
    <w:rsid w:val="004157C3"/>
    <w:rsid w:val="00422ADC"/>
    <w:rsid w:val="00465CAF"/>
    <w:rsid w:val="004C374E"/>
    <w:rsid w:val="00535447"/>
    <w:rsid w:val="00582295"/>
    <w:rsid w:val="006111F1"/>
    <w:rsid w:val="00695DE6"/>
    <w:rsid w:val="007033A5"/>
    <w:rsid w:val="007105C5"/>
    <w:rsid w:val="007402A0"/>
    <w:rsid w:val="00776034"/>
    <w:rsid w:val="00783FCC"/>
    <w:rsid w:val="007855ED"/>
    <w:rsid w:val="007C1CE6"/>
    <w:rsid w:val="007C3F5F"/>
    <w:rsid w:val="007C6969"/>
    <w:rsid w:val="00935F55"/>
    <w:rsid w:val="0094112B"/>
    <w:rsid w:val="009537C8"/>
    <w:rsid w:val="00A45DB5"/>
    <w:rsid w:val="00A92114"/>
    <w:rsid w:val="00AA000A"/>
    <w:rsid w:val="00AA6FFD"/>
    <w:rsid w:val="00AB43A4"/>
    <w:rsid w:val="00B30994"/>
    <w:rsid w:val="00B45FF6"/>
    <w:rsid w:val="00C52DF0"/>
    <w:rsid w:val="00C705B1"/>
    <w:rsid w:val="00CD55D6"/>
    <w:rsid w:val="00D3042C"/>
    <w:rsid w:val="00D76000"/>
    <w:rsid w:val="00D903CF"/>
    <w:rsid w:val="00E15582"/>
    <w:rsid w:val="00FA285E"/>
    <w:rsid w:val="00FE67FC"/>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AF83AD"/>
  <w15:chartTrackingRefBased/>
  <w15:docId w15:val="{313BA9DD-C8B5-4C36-A97D-308073AE5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374E"/>
  </w:style>
  <w:style w:type="paragraph" w:styleId="Heading1">
    <w:name w:val="heading 1"/>
    <w:basedOn w:val="Normal"/>
    <w:next w:val="Normal"/>
    <w:link w:val="Heading1Char"/>
    <w:uiPriority w:val="9"/>
    <w:qFormat/>
    <w:rsid w:val="004C374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C374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C374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C374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C374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C374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374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374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374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374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C374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C374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C374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C374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C37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37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37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374E"/>
    <w:rPr>
      <w:rFonts w:eastAsiaTheme="majorEastAsia" w:cstheme="majorBidi"/>
      <w:color w:val="272727" w:themeColor="text1" w:themeTint="D8"/>
    </w:rPr>
  </w:style>
  <w:style w:type="paragraph" w:styleId="Title">
    <w:name w:val="Title"/>
    <w:basedOn w:val="Normal"/>
    <w:next w:val="Normal"/>
    <w:link w:val="TitleChar"/>
    <w:uiPriority w:val="10"/>
    <w:qFormat/>
    <w:rsid w:val="004C37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37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374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37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374E"/>
    <w:pPr>
      <w:spacing w:before="160"/>
      <w:jc w:val="center"/>
    </w:pPr>
    <w:rPr>
      <w:i/>
      <w:iCs/>
      <w:color w:val="404040" w:themeColor="text1" w:themeTint="BF"/>
    </w:rPr>
  </w:style>
  <w:style w:type="character" w:customStyle="1" w:styleId="QuoteChar">
    <w:name w:val="Quote Char"/>
    <w:basedOn w:val="DefaultParagraphFont"/>
    <w:link w:val="Quote"/>
    <w:uiPriority w:val="29"/>
    <w:rsid w:val="004C374E"/>
    <w:rPr>
      <w:i/>
      <w:iCs/>
      <w:color w:val="404040" w:themeColor="text1" w:themeTint="BF"/>
    </w:rPr>
  </w:style>
  <w:style w:type="paragraph" w:styleId="ListParagraph">
    <w:name w:val="List Paragraph"/>
    <w:basedOn w:val="Normal"/>
    <w:uiPriority w:val="34"/>
    <w:qFormat/>
    <w:rsid w:val="004C374E"/>
    <w:pPr>
      <w:ind w:left="720"/>
      <w:contextualSpacing/>
    </w:pPr>
  </w:style>
  <w:style w:type="character" w:styleId="IntenseEmphasis">
    <w:name w:val="Intense Emphasis"/>
    <w:basedOn w:val="DefaultParagraphFont"/>
    <w:uiPriority w:val="21"/>
    <w:qFormat/>
    <w:rsid w:val="004C374E"/>
    <w:rPr>
      <w:i/>
      <w:iCs/>
      <w:color w:val="2F5496" w:themeColor="accent1" w:themeShade="BF"/>
    </w:rPr>
  </w:style>
  <w:style w:type="paragraph" w:styleId="IntenseQuote">
    <w:name w:val="Intense Quote"/>
    <w:basedOn w:val="Normal"/>
    <w:next w:val="Normal"/>
    <w:link w:val="IntenseQuoteChar"/>
    <w:uiPriority w:val="30"/>
    <w:qFormat/>
    <w:rsid w:val="004C374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C374E"/>
    <w:rPr>
      <w:i/>
      <w:iCs/>
      <w:color w:val="2F5496" w:themeColor="accent1" w:themeShade="BF"/>
    </w:rPr>
  </w:style>
  <w:style w:type="character" w:styleId="IntenseReference">
    <w:name w:val="Intense Reference"/>
    <w:basedOn w:val="DefaultParagraphFont"/>
    <w:uiPriority w:val="32"/>
    <w:qFormat/>
    <w:rsid w:val="004C374E"/>
    <w:rPr>
      <w:b/>
      <w:bCs/>
      <w:smallCaps/>
      <w:color w:val="2F5496" w:themeColor="accent1" w:themeShade="BF"/>
      <w:spacing w:val="5"/>
    </w:rPr>
  </w:style>
  <w:style w:type="character" w:styleId="Hyperlink">
    <w:name w:val="Hyperlink"/>
    <w:basedOn w:val="DefaultParagraphFont"/>
    <w:uiPriority w:val="99"/>
    <w:unhideWhenUsed/>
    <w:rsid w:val="004C374E"/>
    <w:rPr>
      <w:color w:val="0563C1" w:themeColor="hyperlink"/>
      <w:u w:val="single"/>
    </w:rPr>
  </w:style>
  <w:style w:type="character" w:styleId="UnresolvedMention">
    <w:name w:val="Unresolved Mention"/>
    <w:basedOn w:val="DefaultParagraphFont"/>
    <w:uiPriority w:val="99"/>
    <w:semiHidden/>
    <w:unhideWhenUsed/>
    <w:rsid w:val="004C37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putusan3.mahkamahagung.go.id/direktori/putusan/zaec436ed88061aa947331313133303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704</TotalTime>
  <Pages>1</Pages>
  <Words>345</Words>
  <Characters>1970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HP5CD4236WS6@outlook.com</dc:creator>
  <cp:keywords/>
  <dc:description/>
  <cp:lastModifiedBy>HP5CD4236WS6@outlook.com</cp:lastModifiedBy>
  <cp:revision>17</cp:revision>
  <dcterms:created xsi:type="dcterms:W3CDTF">2025-10-14T05:25:00Z</dcterms:created>
  <dcterms:modified xsi:type="dcterms:W3CDTF">2026-01-14T02:14:00Z</dcterms:modified>
</cp:coreProperties>
</file>