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29E52" w14:textId="77777777" w:rsidR="00066B1E" w:rsidRDefault="00066B1E" w:rsidP="00066B1E">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74B061D7" w14:textId="199BC161" w:rsidR="00066B1E" w:rsidRDefault="00066B1E" w:rsidP="00066B1E">
      <w:pPr>
        <w:jc w:val="both"/>
        <w:rPr>
          <w:rFonts w:ascii="Arial" w:hAnsi="Arial" w:cs="Arial"/>
          <w:b/>
          <w:bCs/>
          <w:noProof/>
          <w:sz w:val="24"/>
          <w:szCs w:val="24"/>
        </w:rPr>
      </w:pPr>
      <w:r>
        <w:rPr>
          <w:rFonts w:ascii="Arial" w:hAnsi="Arial" w:cs="Arial"/>
          <w:b/>
          <w:bCs/>
          <w:noProof/>
          <w:sz w:val="24"/>
          <w:szCs w:val="24"/>
        </w:rPr>
        <w:t>Rabu, 13 Agustus 2025</w:t>
      </w:r>
    </w:p>
    <w:p w14:paraId="6946363B" w14:textId="77777777" w:rsidR="008E6B0D" w:rsidRDefault="008E6B0D" w:rsidP="00E40DC6">
      <w:pPr>
        <w:jc w:val="both"/>
        <w:rPr>
          <w:rFonts w:ascii="Arial" w:hAnsi="Arial" w:cs="Arial"/>
          <w:b/>
          <w:bCs/>
          <w:noProof/>
          <w:sz w:val="24"/>
          <w:szCs w:val="24"/>
        </w:rPr>
      </w:pPr>
      <w:r w:rsidRPr="008E6B0D">
        <w:rPr>
          <w:rFonts w:ascii="Arial" w:hAnsi="Arial" w:cs="Arial"/>
          <w:b/>
          <w:bCs/>
          <w:noProof/>
          <w:sz w:val="24"/>
          <w:szCs w:val="24"/>
        </w:rPr>
        <w:t>DIHUKUM PIDANA: PENYEDIA YANG TIDAK MELAKSANAKAN PEKERJAAN DENGAN CERMAT DAN TIDAK BERTANGGUNG JAWAB SEHINGGA MENGAKIBATKAN KERUGIAN NEGARA</w:t>
      </w:r>
    </w:p>
    <w:p w14:paraId="065EC89F" w14:textId="77777777" w:rsidR="00276E11" w:rsidRDefault="008E6B0D" w:rsidP="00E40DC6">
      <w:pPr>
        <w:jc w:val="both"/>
        <w:rPr>
          <w:rFonts w:ascii="Arial" w:hAnsi="Arial" w:cs="Arial"/>
          <w:noProof/>
          <w:sz w:val="24"/>
          <w:szCs w:val="24"/>
        </w:rPr>
      </w:pPr>
      <w:r w:rsidRPr="008E6B0D">
        <w:rPr>
          <w:rFonts w:ascii="Arial" w:hAnsi="Arial" w:cs="Arial"/>
          <w:noProof/>
          <w:sz w:val="24"/>
          <w:szCs w:val="24"/>
        </w:rPr>
        <w:t>Tri Yani Rahayu (Terdakwa) adalah Direktur CV. San Ken yang memenangkan lelang dalam Proyek Pekerjaan Rahabilitasi Sedang/Berat Bangunan Pasar Hewan Jogotrunan Kab. Lumajang pada Dinas Pasar T.A 2016 dengan nilai kontrak sebelum pajak adalah Rp. 1.785.555.995,50.</w:t>
      </w:r>
    </w:p>
    <w:p w14:paraId="07ED02F8" w14:textId="45B330AA" w:rsidR="008E6B0D" w:rsidRDefault="008E6B0D" w:rsidP="00E40DC6">
      <w:pPr>
        <w:jc w:val="both"/>
        <w:rPr>
          <w:rFonts w:ascii="Arial" w:hAnsi="Arial" w:cs="Arial"/>
          <w:noProof/>
          <w:sz w:val="24"/>
          <w:szCs w:val="24"/>
        </w:rPr>
      </w:pPr>
      <w:r w:rsidRPr="008E6B0D">
        <w:rPr>
          <w:rFonts w:ascii="Arial" w:hAnsi="Arial" w:cs="Arial"/>
          <w:noProof/>
          <w:sz w:val="24"/>
          <w:szCs w:val="24"/>
        </w:rPr>
        <w:t>Terdakwa didakwa telah menyebabkan kerugian negara sebab melakukan perbuatan melawan hukum dengan tidak melaksanakan pekerjaan secara cermat, akurat, dan penuh tanggung jawab dalam menyediakan tenaga kerja, bahan, dan peralatan di lapangan yang harusnya sesuai dengan isi kontrak sehingga terdapat volume pekerjaan yang tidak dilaksanakan serta item pekerjaan yang tidak sesuai.</w:t>
      </w:r>
    </w:p>
    <w:p w14:paraId="1538CBAE" w14:textId="77777777" w:rsidR="00276E11" w:rsidRDefault="008E6B0D" w:rsidP="0006372E">
      <w:pPr>
        <w:jc w:val="both"/>
        <w:rPr>
          <w:rFonts w:ascii="Arial" w:hAnsi="Arial" w:cs="Arial"/>
          <w:noProof/>
          <w:sz w:val="24"/>
          <w:szCs w:val="24"/>
        </w:rPr>
      </w:pPr>
      <w:r w:rsidRPr="008E6B0D">
        <w:rPr>
          <w:rFonts w:ascii="Arial" w:hAnsi="Arial" w:cs="Arial"/>
          <w:noProof/>
          <w:sz w:val="24"/>
          <w:szCs w:val="24"/>
        </w:rPr>
        <w:t xml:space="preserve">Dalam hal ini, Terdakwa tetap meminta pembayaran anggaran pekerjaan 100% kepada Yossie Sudarso selaku PA sekaligus PPK (Terdakwa dalam berkas yang dipisah/splitzing) yang memprosesnya tanpa mengecek secara cemat dengan membandingan antara isi dokumen kontrak dengan hasil pekerjaan di lapangan. </w:t>
      </w:r>
    </w:p>
    <w:p w14:paraId="47ED77F9" w14:textId="7D432D96" w:rsidR="008E6B0D" w:rsidRDefault="008E6B0D" w:rsidP="0006372E">
      <w:pPr>
        <w:jc w:val="both"/>
        <w:rPr>
          <w:rFonts w:ascii="Arial" w:hAnsi="Arial" w:cs="Arial"/>
          <w:noProof/>
          <w:sz w:val="24"/>
          <w:szCs w:val="24"/>
        </w:rPr>
      </w:pPr>
      <w:r w:rsidRPr="008E6B0D">
        <w:rPr>
          <w:rFonts w:ascii="Arial" w:hAnsi="Arial" w:cs="Arial"/>
          <w:noProof/>
          <w:sz w:val="24"/>
          <w:szCs w:val="24"/>
        </w:rPr>
        <w:t>Berdasarkan audit dari Ahli Inspektorat Kab. Lumajang, ditemukan volume pekerjaan yang terpasang Rp. 1.244.502.962,81, sehingga terdapat nilai kekurangan volume Rp. 541.053.025,69 yang ditetapkan sebagai kerugian negara oleh Penuntut Umum.</w:t>
      </w:r>
    </w:p>
    <w:p w14:paraId="187CE862" w14:textId="61DA8932" w:rsidR="00276E11" w:rsidRDefault="008E6B0D" w:rsidP="0006372E">
      <w:pPr>
        <w:jc w:val="both"/>
        <w:rPr>
          <w:rFonts w:ascii="Arial" w:hAnsi="Arial" w:cs="Arial"/>
          <w:noProof/>
          <w:sz w:val="24"/>
          <w:szCs w:val="24"/>
        </w:rPr>
      </w:pPr>
      <w:r w:rsidRPr="008E6B0D">
        <w:rPr>
          <w:rFonts w:ascii="Arial" w:hAnsi="Arial" w:cs="Arial"/>
          <w:noProof/>
          <w:sz w:val="24"/>
          <w:szCs w:val="24"/>
        </w:rPr>
        <w:t>Majelis Hakim Tipikor PN Surabaya menimbang perbuatan Terdakwa memenuhi unsur Pasal 3 Jo. Pasal 18 (1) huruf b, ayat (2), ayat (3) UU No. 31 tahun 1999 sebagaimana diubah dengan UU No. 20 Tahun 2001 tentang Pemberantasan Tindak Pidana Korupsi dalam dakwaan subsidair dengan menyatakan Terdakwa korupsi secara bersama-sama dan menjatuhkan pidana penjara 4 tahun d</w:t>
      </w:r>
      <w:r w:rsidR="007E4D15">
        <w:rPr>
          <w:rFonts w:ascii="Arial" w:hAnsi="Arial" w:cs="Arial"/>
          <w:noProof/>
          <w:sz w:val="24"/>
          <w:szCs w:val="24"/>
        </w:rPr>
        <w:t>engan</w:t>
      </w:r>
      <w:r w:rsidRPr="008E6B0D">
        <w:rPr>
          <w:rFonts w:ascii="Arial" w:hAnsi="Arial" w:cs="Arial"/>
          <w:noProof/>
          <w:sz w:val="24"/>
          <w:szCs w:val="24"/>
        </w:rPr>
        <w:t xml:space="preserve"> denda Rp. 100.000.000 yang apabila tidak dibayarkan diganti pidana kurungan selama 3 bulan.</w:t>
      </w:r>
    </w:p>
    <w:p w14:paraId="5BE43503" w14:textId="481CEB55" w:rsidR="009257FB" w:rsidRDefault="008E6B0D" w:rsidP="0006372E">
      <w:pPr>
        <w:jc w:val="both"/>
        <w:rPr>
          <w:rFonts w:ascii="Arial" w:hAnsi="Arial" w:cs="Arial"/>
          <w:noProof/>
          <w:sz w:val="24"/>
          <w:szCs w:val="24"/>
        </w:rPr>
      </w:pPr>
      <w:r w:rsidRPr="008E6B0D">
        <w:rPr>
          <w:rFonts w:ascii="Arial" w:hAnsi="Arial" w:cs="Arial"/>
          <w:noProof/>
          <w:sz w:val="24"/>
          <w:szCs w:val="24"/>
        </w:rPr>
        <w:t>Terdakwa juga dihukum membayar uang pengganti Rp. 541.053.025,69 yang apabila tidak dibayar maka harta bendanya disita Jaksa untuk dilelang, dan apabila harta bendanya tidak mencukupi maka dipidana penjara 1 tahun. Putusan ini dikuatkan pada tingkat banding.</w:t>
      </w:r>
    </w:p>
    <w:p w14:paraId="4C2E041A" w14:textId="77777777" w:rsidR="00276E11" w:rsidRDefault="008E6B0D" w:rsidP="008D3F76">
      <w:pPr>
        <w:jc w:val="both"/>
        <w:rPr>
          <w:rFonts w:ascii="Arial" w:hAnsi="Arial" w:cs="Arial"/>
          <w:noProof/>
          <w:sz w:val="24"/>
          <w:szCs w:val="24"/>
        </w:rPr>
      </w:pPr>
      <w:r w:rsidRPr="008E6B0D">
        <w:rPr>
          <w:rFonts w:ascii="Arial" w:hAnsi="Arial" w:cs="Arial"/>
          <w:noProof/>
          <w:sz w:val="24"/>
          <w:szCs w:val="24"/>
        </w:rPr>
        <w:t>Pada tingkat kasasi, Majelis Hakim Agung menimbang putusan Judex Facti tidak bertentangan dengan hukum, tetapi perlu diperbaiki mengenai dakwaan yang terbukti karena ditemukan penyimpangan pembayaran termin pekerjaan yang seharusnya setelah uang muka sudah 3 kali pembayaran, tetapi faktanya setelah uang muka sudah 4 kali pembayaran sehingga memenuhi unsur dakwaan primer yang esensialnya ada pada Pasal 2 UU No. 31 tahun 1999.</w:t>
      </w:r>
    </w:p>
    <w:p w14:paraId="4907CDFD" w14:textId="0854C522" w:rsidR="00FC7505" w:rsidRDefault="008E6B0D" w:rsidP="008D3F76">
      <w:pPr>
        <w:jc w:val="both"/>
        <w:rPr>
          <w:rFonts w:ascii="Arial" w:hAnsi="Arial" w:cs="Arial"/>
          <w:noProof/>
          <w:sz w:val="24"/>
          <w:szCs w:val="24"/>
        </w:rPr>
      </w:pPr>
      <w:r w:rsidRPr="008E6B0D">
        <w:rPr>
          <w:rFonts w:ascii="Arial" w:hAnsi="Arial" w:cs="Arial"/>
          <w:noProof/>
          <w:sz w:val="24"/>
          <w:szCs w:val="24"/>
        </w:rPr>
        <w:t>Majelis tetap menjatuhkan pidana penjara 4 tahun tetapi mengubah pidana denda menjadi Rp. 200.000.00</w:t>
      </w:r>
      <w:r w:rsidR="00276E11">
        <w:rPr>
          <w:rFonts w:ascii="Arial" w:hAnsi="Arial" w:cs="Arial"/>
          <w:noProof/>
          <w:sz w:val="24"/>
          <w:szCs w:val="24"/>
        </w:rPr>
        <w:t>0</w:t>
      </w:r>
      <w:r w:rsidRPr="008E6B0D">
        <w:rPr>
          <w:rFonts w:ascii="Arial" w:hAnsi="Arial" w:cs="Arial"/>
          <w:noProof/>
          <w:sz w:val="24"/>
          <w:szCs w:val="24"/>
        </w:rPr>
        <w:t xml:space="preserve"> yang apabila tidak dibayar diganti pidana kurungan 6 bulan, serta tetap menjatuhkan pidana tambahan membayar uang pengganti.</w:t>
      </w:r>
    </w:p>
    <w:p w14:paraId="4D6B4055" w14:textId="77777777" w:rsidR="008E6B0D" w:rsidRPr="00F563F4" w:rsidRDefault="008E6B0D" w:rsidP="008D3F76">
      <w:pPr>
        <w:jc w:val="both"/>
        <w:rPr>
          <w:rFonts w:ascii="Arial" w:hAnsi="Arial" w:cs="Arial"/>
          <w:noProof/>
          <w:sz w:val="24"/>
          <w:szCs w:val="24"/>
        </w:rPr>
      </w:pPr>
    </w:p>
    <w:p w14:paraId="0F8E4430" w14:textId="472CFD92" w:rsidR="00066B1E" w:rsidRDefault="00066B1E" w:rsidP="00066B1E">
      <w:pPr>
        <w:jc w:val="both"/>
        <w:rPr>
          <w:rFonts w:ascii="Arial" w:hAnsi="Arial" w:cs="Arial"/>
          <w:noProof/>
          <w:sz w:val="24"/>
          <w:szCs w:val="24"/>
        </w:rPr>
      </w:pPr>
      <w:r>
        <w:rPr>
          <w:rFonts w:ascii="Arial" w:hAnsi="Arial" w:cs="Arial"/>
          <w:noProof/>
          <w:sz w:val="24"/>
          <w:szCs w:val="24"/>
        </w:rPr>
        <w:lastRenderedPageBreak/>
        <w:t>→ Putusan Mahkamah Agung Nomor 94 K/Pid.Sus/2021, 26 Januari 2021</w:t>
      </w:r>
    </w:p>
    <w:p w14:paraId="5FDAACC5" w14:textId="24089F9C" w:rsidR="00066B1E" w:rsidRDefault="00066B1E" w:rsidP="00066B1E">
      <w:pPr>
        <w:jc w:val="both"/>
      </w:pPr>
      <w:r>
        <w:rPr>
          <w:rFonts w:ascii="Arial" w:hAnsi="Arial" w:cs="Arial"/>
          <w:noProof/>
          <w:sz w:val="24"/>
          <w:szCs w:val="24"/>
        </w:rPr>
        <w:t xml:space="preserve">Sumber: </w:t>
      </w:r>
    </w:p>
    <w:p w14:paraId="1DCBC1C5" w14:textId="5634CBC2" w:rsidR="00066B1E" w:rsidRPr="00066B1E" w:rsidRDefault="00066B1E" w:rsidP="00066B1E">
      <w:pPr>
        <w:jc w:val="both"/>
        <w:rPr>
          <w:rFonts w:ascii="Arial" w:hAnsi="Arial" w:cs="Arial"/>
          <w:sz w:val="24"/>
          <w:szCs w:val="24"/>
        </w:rPr>
      </w:pPr>
      <w:hyperlink r:id="rId5" w:history="1">
        <w:r w:rsidRPr="00066B1E">
          <w:rPr>
            <w:rStyle w:val="Hyperlink"/>
            <w:rFonts w:ascii="Arial" w:hAnsi="Arial" w:cs="Arial"/>
            <w:sz w:val="24"/>
            <w:szCs w:val="24"/>
          </w:rPr>
          <w:t>https://putusan3.mahkamahagung.go.id/direktori/putusan/zaec56508585ed7ca642313135333537.html</w:t>
        </w:r>
      </w:hyperlink>
      <w:r w:rsidRPr="00066B1E">
        <w:rPr>
          <w:rFonts w:ascii="Arial" w:hAnsi="Arial" w:cs="Arial"/>
          <w:sz w:val="24"/>
          <w:szCs w:val="24"/>
        </w:rPr>
        <w:t xml:space="preserve"> </w:t>
      </w:r>
    </w:p>
    <w:p w14:paraId="6322D868" w14:textId="77777777" w:rsidR="00066B1E" w:rsidRDefault="00066B1E" w:rsidP="00066B1E">
      <w:pPr>
        <w:spacing w:after="0"/>
        <w:jc w:val="both"/>
        <w:rPr>
          <w:rFonts w:ascii="Arial" w:hAnsi="Arial" w:cs="Arial"/>
          <w:noProof/>
          <w:sz w:val="24"/>
          <w:szCs w:val="24"/>
        </w:rPr>
      </w:pPr>
      <w:r>
        <w:rPr>
          <w:rFonts w:ascii="Arial" w:hAnsi="Arial" w:cs="Arial"/>
          <w:noProof/>
          <w:sz w:val="24"/>
          <w:szCs w:val="24"/>
        </w:rPr>
        <w:t>Salam Pengadaan,</w:t>
      </w:r>
    </w:p>
    <w:p w14:paraId="4AD4FBA0" w14:textId="77777777" w:rsidR="00066B1E" w:rsidRDefault="00066B1E" w:rsidP="00066B1E">
      <w:pPr>
        <w:spacing w:after="0"/>
        <w:jc w:val="both"/>
        <w:rPr>
          <w:rFonts w:ascii="Arial" w:hAnsi="Arial" w:cs="Arial"/>
          <w:noProof/>
          <w:sz w:val="24"/>
          <w:szCs w:val="24"/>
        </w:rPr>
      </w:pPr>
      <w:r>
        <w:rPr>
          <w:rFonts w:ascii="Arial" w:hAnsi="Arial" w:cs="Arial"/>
          <w:noProof/>
          <w:sz w:val="24"/>
          <w:szCs w:val="24"/>
        </w:rPr>
        <w:t>Ketua LBH Pengadaan Publik Indonesia</w:t>
      </w:r>
    </w:p>
    <w:p w14:paraId="67C60DE7" w14:textId="77777777" w:rsidR="00066B1E" w:rsidRDefault="00066B1E" w:rsidP="00066B1E">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p>
    <w:p w14:paraId="34103C86" w14:textId="77777777" w:rsidR="00066B1E" w:rsidRPr="00CB22EB" w:rsidRDefault="00066B1E" w:rsidP="00066B1E">
      <w:pPr>
        <w:jc w:val="both"/>
        <w:rPr>
          <w:rFonts w:ascii="Arial" w:hAnsi="Arial" w:cs="Arial"/>
          <w:noProof/>
          <w:sz w:val="24"/>
          <w:szCs w:val="24"/>
        </w:rPr>
      </w:pPr>
    </w:p>
    <w:p w14:paraId="6DEE9FD7" w14:textId="77777777" w:rsidR="00066B1E" w:rsidRDefault="00066B1E" w:rsidP="00066B1E"/>
    <w:p w14:paraId="3093764D"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7F2E96"/>
    <w:multiLevelType w:val="hybridMultilevel"/>
    <w:tmpl w:val="EDE4E816"/>
    <w:lvl w:ilvl="0" w:tplc="ECECBE80">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215392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B1E"/>
    <w:rsid w:val="0006372E"/>
    <w:rsid w:val="00066B1E"/>
    <w:rsid w:val="000A1B92"/>
    <w:rsid w:val="00276E11"/>
    <w:rsid w:val="00422ADC"/>
    <w:rsid w:val="00776034"/>
    <w:rsid w:val="007C6969"/>
    <w:rsid w:val="007E4D15"/>
    <w:rsid w:val="008D3F76"/>
    <w:rsid w:val="008E6B0D"/>
    <w:rsid w:val="009257FB"/>
    <w:rsid w:val="009D542D"/>
    <w:rsid w:val="00BB6741"/>
    <w:rsid w:val="00CD3F48"/>
    <w:rsid w:val="00D4621B"/>
    <w:rsid w:val="00E40DC6"/>
    <w:rsid w:val="00E5069D"/>
    <w:rsid w:val="00EB5ED4"/>
    <w:rsid w:val="00F563F4"/>
    <w:rsid w:val="00FC750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B0A53"/>
  <w15:chartTrackingRefBased/>
  <w15:docId w15:val="{C901BA70-0079-487A-A254-D540202F0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B1E"/>
  </w:style>
  <w:style w:type="paragraph" w:styleId="Heading1">
    <w:name w:val="heading 1"/>
    <w:basedOn w:val="Normal"/>
    <w:next w:val="Normal"/>
    <w:link w:val="Heading1Char"/>
    <w:uiPriority w:val="9"/>
    <w:qFormat/>
    <w:rsid w:val="00066B1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6B1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6B1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6B1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6B1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6B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B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B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B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B1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6B1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6B1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6B1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6B1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6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B1E"/>
    <w:rPr>
      <w:rFonts w:eastAsiaTheme="majorEastAsia" w:cstheme="majorBidi"/>
      <w:color w:val="272727" w:themeColor="text1" w:themeTint="D8"/>
    </w:rPr>
  </w:style>
  <w:style w:type="paragraph" w:styleId="Title">
    <w:name w:val="Title"/>
    <w:basedOn w:val="Normal"/>
    <w:next w:val="Normal"/>
    <w:link w:val="TitleChar"/>
    <w:uiPriority w:val="10"/>
    <w:qFormat/>
    <w:rsid w:val="00066B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B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B1E"/>
    <w:pPr>
      <w:spacing w:before="160"/>
      <w:jc w:val="center"/>
    </w:pPr>
    <w:rPr>
      <w:i/>
      <w:iCs/>
      <w:color w:val="404040" w:themeColor="text1" w:themeTint="BF"/>
    </w:rPr>
  </w:style>
  <w:style w:type="character" w:customStyle="1" w:styleId="QuoteChar">
    <w:name w:val="Quote Char"/>
    <w:basedOn w:val="DefaultParagraphFont"/>
    <w:link w:val="Quote"/>
    <w:uiPriority w:val="29"/>
    <w:rsid w:val="00066B1E"/>
    <w:rPr>
      <w:i/>
      <w:iCs/>
      <w:color w:val="404040" w:themeColor="text1" w:themeTint="BF"/>
    </w:rPr>
  </w:style>
  <w:style w:type="paragraph" w:styleId="ListParagraph">
    <w:name w:val="List Paragraph"/>
    <w:basedOn w:val="Normal"/>
    <w:uiPriority w:val="34"/>
    <w:qFormat/>
    <w:rsid w:val="00066B1E"/>
    <w:pPr>
      <w:ind w:left="720"/>
      <w:contextualSpacing/>
    </w:pPr>
  </w:style>
  <w:style w:type="character" w:styleId="IntenseEmphasis">
    <w:name w:val="Intense Emphasis"/>
    <w:basedOn w:val="DefaultParagraphFont"/>
    <w:uiPriority w:val="21"/>
    <w:qFormat/>
    <w:rsid w:val="00066B1E"/>
    <w:rPr>
      <w:i/>
      <w:iCs/>
      <w:color w:val="2F5496" w:themeColor="accent1" w:themeShade="BF"/>
    </w:rPr>
  </w:style>
  <w:style w:type="paragraph" w:styleId="IntenseQuote">
    <w:name w:val="Intense Quote"/>
    <w:basedOn w:val="Normal"/>
    <w:next w:val="Normal"/>
    <w:link w:val="IntenseQuoteChar"/>
    <w:uiPriority w:val="30"/>
    <w:qFormat/>
    <w:rsid w:val="00066B1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6B1E"/>
    <w:rPr>
      <w:i/>
      <w:iCs/>
      <w:color w:val="2F5496" w:themeColor="accent1" w:themeShade="BF"/>
    </w:rPr>
  </w:style>
  <w:style w:type="character" w:styleId="IntenseReference">
    <w:name w:val="Intense Reference"/>
    <w:basedOn w:val="DefaultParagraphFont"/>
    <w:uiPriority w:val="32"/>
    <w:qFormat/>
    <w:rsid w:val="00066B1E"/>
    <w:rPr>
      <w:b/>
      <w:bCs/>
      <w:smallCaps/>
      <w:color w:val="2F5496" w:themeColor="accent1" w:themeShade="BF"/>
      <w:spacing w:val="5"/>
    </w:rPr>
  </w:style>
  <w:style w:type="character" w:styleId="Hyperlink">
    <w:name w:val="Hyperlink"/>
    <w:basedOn w:val="DefaultParagraphFont"/>
    <w:uiPriority w:val="99"/>
    <w:unhideWhenUsed/>
    <w:rsid w:val="00066B1E"/>
    <w:rPr>
      <w:color w:val="0563C1" w:themeColor="hyperlink"/>
      <w:u w:val="single"/>
    </w:rPr>
  </w:style>
  <w:style w:type="character" w:styleId="UnresolvedMention">
    <w:name w:val="Unresolved Mention"/>
    <w:basedOn w:val="DefaultParagraphFont"/>
    <w:uiPriority w:val="99"/>
    <w:semiHidden/>
    <w:unhideWhenUsed/>
    <w:rsid w:val="00066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c56508585ed7ca642313135333537.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3</cp:revision>
  <dcterms:created xsi:type="dcterms:W3CDTF">2025-08-13T02:21:00Z</dcterms:created>
  <dcterms:modified xsi:type="dcterms:W3CDTF">2025-08-13T06:07:00Z</dcterms:modified>
</cp:coreProperties>
</file>