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FBE75" w14:textId="77777777" w:rsidR="00480A7B" w:rsidRDefault="00480A7B" w:rsidP="00480A7B">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2CBA783B" w14:textId="319ADE76" w:rsidR="00480A7B" w:rsidRDefault="00EB72A2" w:rsidP="00480A7B">
      <w:pPr>
        <w:jc w:val="both"/>
        <w:rPr>
          <w:rFonts w:ascii="Arial" w:hAnsi="Arial" w:cs="Arial"/>
          <w:b/>
          <w:bCs/>
          <w:noProof/>
          <w:sz w:val="24"/>
          <w:szCs w:val="24"/>
        </w:rPr>
      </w:pPr>
      <w:r>
        <w:rPr>
          <w:rFonts w:ascii="Arial" w:hAnsi="Arial" w:cs="Arial"/>
          <w:b/>
          <w:bCs/>
          <w:noProof/>
          <w:sz w:val="24"/>
          <w:szCs w:val="24"/>
        </w:rPr>
        <w:t>Senin</w:t>
      </w:r>
      <w:r w:rsidR="00480A7B">
        <w:rPr>
          <w:rFonts w:ascii="Arial" w:hAnsi="Arial" w:cs="Arial"/>
          <w:b/>
          <w:bCs/>
          <w:noProof/>
          <w:sz w:val="24"/>
          <w:szCs w:val="24"/>
        </w:rPr>
        <w:t xml:space="preserve">, </w:t>
      </w:r>
      <w:r>
        <w:rPr>
          <w:rFonts w:ascii="Arial" w:hAnsi="Arial" w:cs="Arial"/>
          <w:b/>
          <w:bCs/>
          <w:noProof/>
          <w:sz w:val="24"/>
          <w:szCs w:val="24"/>
        </w:rPr>
        <w:t>11</w:t>
      </w:r>
      <w:r w:rsidR="00480A7B">
        <w:rPr>
          <w:rFonts w:ascii="Arial" w:hAnsi="Arial" w:cs="Arial"/>
          <w:b/>
          <w:bCs/>
          <w:noProof/>
          <w:sz w:val="24"/>
          <w:szCs w:val="24"/>
        </w:rPr>
        <w:t xml:space="preserve"> Agustus 2025</w:t>
      </w:r>
    </w:p>
    <w:p w14:paraId="08A32E3A" w14:textId="76F0CC8F" w:rsidR="00480A7B" w:rsidRDefault="00ED75D5" w:rsidP="00480A7B">
      <w:pPr>
        <w:jc w:val="both"/>
        <w:rPr>
          <w:rFonts w:ascii="Arial" w:hAnsi="Arial" w:cs="Arial"/>
          <w:b/>
          <w:bCs/>
          <w:noProof/>
          <w:sz w:val="24"/>
          <w:szCs w:val="24"/>
        </w:rPr>
      </w:pPr>
      <w:r>
        <w:rPr>
          <w:rFonts w:ascii="Arial" w:hAnsi="Arial" w:cs="Arial"/>
          <w:b/>
          <w:bCs/>
          <w:noProof/>
          <w:sz w:val="24"/>
          <w:szCs w:val="24"/>
        </w:rPr>
        <w:t>DI</w:t>
      </w:r>
      <w:r w:rsidR="00EB72A2">
        <w:rPr>
          <w:rFonts w:ascii="Arial" w:hAnsi="Arial" w:cs="Arial"/>
          <w:b/>
          <w:bCs/>
          <w:noProof/>
          <w:sz w:val="24"/>
          <w:szCs w:val="24"/>
        </w:rPr>
        <w:t xml:space="preserve">PUTUS </w:t>
      </w:r>
      <w:r>
        <w:rPr>
          <w:rFonts w:ascii="Arial" w:hAnsi="Arial" w:cs="Arial"/>
          <w:b/>
          <w:bCs/>
          <w:noProof/>
          <w:sz w:val="24"/>
          <w:szCs w:val="24"/>
        </w:rPr>
        <w:t xml:space="preserve">GUGATAN TIDAK DAPAT DITERIMA OLEH </w:t>
      </w:r>
      <w:r w:rsidR="00163969">
        <w:rPr>
          <w:rFonts w:ascii="Arial" w:hAnsi="Arial" w:cs="Arial"/>
          <w:b/>
          <w:bCs/>
          <w:noProof/>
          <w:sz w:val="24"/>
          <w:szCs w:val="24"/>
        </w:rPr>
        <w:t>PENGADILAN TUN</w:t>
      </w:r>
      <w:r>
        <w:rPr>
          <w:rFonts w:ascii="Arial" w:hAnsi="Arial" w:cs="Arial"/>
          <w:b/>
          <w:bCs/>
          <w:noProof/>
          <w:sz w:val="24"/>
          <w:szCs w:val="24"/>
        </w:rPr>
        <w:t xml:space="preserve"> KARENA OBJEK SENGKETA MERUPAKAN KEPUTUSAN </w:t>
      </w:r>
      <w:r w:rsidR="00163969">
        <w:rPr>
          <w:rFonts w:ascii="Arial" w:hAnsi="Arial" w:cs="Arial"/>
          <w:b/>
          <w:bCs/>
          <w:noProof/>
          <w:sz w:val="24"/>
          <w:szCs w:val="24"/>
        </w:rPr>
        <w:t>TUN</w:t>
      </w:r>
      <w:r>
        <w:rPr>
          <w:rFonts w:ascii="Arial" w:hAnsi="Arial" w:cs="Arial"/>
          <w:b/>
          <w:bCs/>
          <w:noProof/>
          <w:sz w:val="24"/>
          <w:szCs w:val="24"/>
        </w:rPr>
        <w:t xml:space="preserve"> YANG BELUM FINAL</w:t>
      </w:r>
      <w:r w:rsidR="00EB72A2">
        <w:rPr>
          <w:rFonts w:ascii="Arial" w:hAnsi="Arial" w:cs="Arial"/>
          <w:b/>
          <w:bCs/>
          <w:noProof/>
          <w:sz w:val="24"/>
          <w:szCs w:val="24"/>
        </w:rPr>
        <w:t xml:space="preserve"> ATAU BERSIFAT DEFINITIF</w:t>
      </w:r>
    </w:p>
    <w:p w14:paraId="037F945E" w14:textId="155D5A46" w:rsidR="00C44EAF" w:rsidRDefault="00C44EAF" w:rsidP="00C44EAF">
      <w:pPr>
        <w:jc w:val="both"/>
        <w:rPr>
          <w:rFonts w:ascii="Arial" w:hAnsi="Arial" w:cs="Arial"/>
          <w:noProof/>
          <w:sz w:val="24"/>
          <w:szCs w:val="24"/>
        </w:rPr>
      </w:pPr>
      <w:r w:rsidRPr="00C44EAF">
        <w:rPr>
          <w:rFonts w:ascii="Arial" w:hAnsi="Arial" w:cs="Arial"/>
          <w:noProof/>
          <w:sz w:val="24"/>
          <w:szCs w:val="24"/>
        </w:rPr>
        <w:t>Pada Paket Pekerjaan Rekonstruksi Jalan Pasirgintung – Lengkongbarang Kab.Tasikmalaya T.A 2023, terdapat 5 peserta lelang yang memasukkan dokumen penawaran.</w:t>
      </w:r>
      <w:r>
        <w:rPr>
          <w:rFonts w:ascii="Arial" w:hAnsi="Arial" w:cs="Arial"/>
          <w:noProof/>
          <w:sz w:val="24"/>
          <w:szCs w:val="24"/>
        </w:rPr>
        <w:t xml:space="preserve"> </w:t>
      </w:r>
      <w:r w:rsidRPr="00C44EAF">
        <w:rPr>
          <w:rFonts w:ascii="Arial" w:hAnsi="Arial" w:cs="Arial"/>
          <w:noProof/>
          <w:sz w:val="24"/>
          <w:szCs w:val="24"/>
        </w:rPr>
        <w:t>Berdasarkan Berita Acara Evaluasi Dokumen Penawaran oleh Pokja (Tergugat), 4 peserta dinyatakan tidak lulus dengan salah satu alasan karena terindikasi melakukan persekongkolan dengan peserta</w:t>
      </w:r>
      <w:r>
        <w:rPr>
          <w:rFonts w:ascii="Arial" w:hAnsi="Arial" w:cs="Arial"/>
          <w:noProof/>
          <w:sz w:val="24"/>
          <w:szCs w:val="24"/>
        </w:rPr>
        <w:t xml:space="preserve"> </w:t>
      </w:r>
      <w:r w:rsidRPr="00C44EAF">
        <w:rPr>
          <w:rFonts w:ascii="Arial" w:hAnsi="Arial" w:cs="Arial"/>
          <w:noProof/>
          <w:sz w:val="24"/>
          <w:szCs w:val="24"/>
        </w:rPr>
        <w:t>lain untuk mengatur</w:t>
      </w:r>
      <w:r>
        <w:rPr>
          <w:rFonts w:ascii="Arial" w:hAnsi="Arial" w:cs="Arial"/>
          <w:noProof/>
          <w:sz w:val="24"/>
          <w:szCs w:val="24"/>
        </w:rPr>
        <w:t xml:space="preserve"> </w:t>
      </w:r>
      <w:r w:rsidRPr="00C44EAF">
        <w:rPr>
          <w:rFonts w:ascii="Arial" w:hAnsi="Arial" w:cs="Arial"/>
          <w:noProof/>
          <w:sz w:val="24"/>
          <w:szCs w:val="24"/>
        </w:rPr>
        <w:t>harga penawaran</w:t>
      </w:r>
      <w:r>
        <w:rPr>
          <w:rFonts w:ascii="Arial" w:hAnsi="Arial" w:cs="Arial"/>
          <w:noProof/>
          <w:sz w:val="24"/>
          <w:szCs w:val="24"/>
        </w:rPr>
        <w:t xml:space="preserve">, </w:t>
      </w:r>
      <w:r w:rsidRPr="00C44EAF">
        <w:rPr>
          <w:rFonts w:ascii="Arial" w:hAnsi="Arial" w:cs="Arial"/>
          <w:noProof/>
          <w:sz w:val="24"/>
          <w:szCs w:val="24"/>
        </w:rPr>
        <w:t xml:space="preserve">Sebab ditemukan kesamaan </w:t>
      </w:r>
      <w:r w:rsidRPr="00C44EAF">
        <w:rPr>
          <w:rFonts w:ascii="Arial" w:hAnsi="Arial" w:cs="Arial"/>
          <w:i/>
          <w:iCs/>
          <w:noProof/>
          <w:sz w:val="24"/>
          <w:szCs w:val="24"/>
        </w:rPr>
        <w:t>IP Adress</w:t>
      </w:r>
      <w:r w:rsidRPr="00C44EAF">
        <w:rPr>
          <w:rFonts w:ascii="Arial" w:hAnsi="Arial" w:cs="Arial"/>
          <w:noProof/>
          <w:sz w:val="24"/>
          <w:szCs w:val="24"/>
        </w:rPr>
        <w:t xml:space="preserve"> di LPSE antara CV. Muda Jaya Kreatif (Penggugat) dengan CV. Pabi Mandiri, serta CV. Tidar Citra Gemilang dengan</w:t>
      </w:r>
      <w:r>
        <w:rPr>
          <w:rFonts w:ascii="Arial" w:hAnsi="Arial" w:cs="Arial"/>
          <w:noProof/>
          <w:sz w:val="24"/>
          <w:szCs w:val="24"/>
        </w:rPr>
        <w:t xml:space="preserve"> </w:t>
      </w:r>
      <w:r w:rsidRPr="00C44EAF">
        <w:rPr>
          <w:rFonts w:ascii="Arial" w:hAnsi="Arial" w:cs="Arial"/>
          <w:noProof/>
          <w:sz w:val="24"/>
          <w:szCs w:val="24"/>
        </w:rPr>
        <w:t>CV. Riswan Rahayu Perdana.</w:t>
      </w:r>
    </w:p>
    <w:p w14:paraId="53408558" w14:textId="636ABE75" w:rsidR="00C44EAF" w:rsidRDefault="00C44EAF" w:rsidP="00C44EAF">
      <w:pPr>
        <w:jc w:val="both"/>
        <w:rPr>
          <w:rFonts w:ascii="Arial" w:hAnsi="Arial" w:cs="Arial"/>
          <w:noProof/>
          <w:sz w:val="24"/>
          <w:szCs w:val="24"/>
        </w:rPr>
      </w:pPr>
      <w:r w:rsidRPr="00C44EAF">
        <w:rPr>
          <w:rFonts w:ascii="Arial" w:hAnsi="Arial" w:cs="Arial"/>
          <w:noProof/>
          <w:sz w:val="24"/>
          <w:szCs w:val="24"/>
        </w:rPr>
        <w:t xml:space="preserve">Karena hanya satu peserta yang lolos, maka Tergugat mengeluarkan </w:t>
      </w:r>
      <w:r w:rsidRPr="00C44EAF">
        <w:rPr>
          <w:rFonts w:ascii="Arial" w:hAnsi="Arial" w:cs="Arial"/>
          <w:b/>
          <w:bCs/>
          <w:noProof/>
          <w:sz w:val="24"/>
          <w:szCs w:val="24"/>
        </w:rPr>
        <w:t>Berita Acara Hasil Pemilihan</w:t>
      </w:r>
      <w:r w:rsidRPr="00C44EAF">
        <w:rPr>
          <w:rFonts w:ascii="Arial" w:hAnsi="Arial" w:cs="Arial"/>
          <w:noProof/>
          <w:sz w:val="24"/>
          <w:szCs w:val="24"/>
        </w:rPr>
        <w:t xml:space="preserve"> (objek sengketa) yang menyatakan CV. Muara Rizky sebagai pemenang.</w:t>
      </w:r>
      <w:r>
        <w:rPr>
          <w:rFonts w:ascii="Arial" w:hAnsi="Arial" w:cs="Arial"/>
          <w:noProof/>
          <w:sz w:val="24"/>
          <w:szCs w:val="24"/>
        </w:rPr>
        <w:t xml:space="preserve"> </w:t>
      </w:r>
      <w:r w:rsidRPr="00C44EAF">
        <w:rPr>
          <w:rFonts w:ascii="Arial" w:hAnsi="Arial" w:cs="Arial"/>
          <w:noProof/>
          <w:sz w:val="24"/>
          <w:szCs w:val="24"/>
        </w:rPr>
        <w:t>Keputusan ini disanggah oleh Penggugat yang dijawab Tergugat pada pokoknya tidak menerima sanggah tersebut.</w:t>
      </w:r>
      <w:r>
        <w:rPr>
          <w:rFonts w:ascii="Arial" w:hAnsi="Arial" w:cs="Arial"/>
          <w:noProof/>
          <w:sz w:val="24"/>
          <w:szCs w:val="24"/>
        </w:rPr>
        <w:t xml:space="preserve"> </w:t>
      </w:r>
      <w:r w:rsidRPr="00C44EAF">
        <w:rPr>
          <w:rFonts w:ascii="Arial" w:hAnsi="Arial" w:cs="Arial"/>
          <w:noProof/>
          <w:sz w:val="24"/>
          <w:szCs w:val="24"/>
        </w:rPr>
        <w:t>Penggugat selanjutnya mengajukan sanggah banding yang dinyatakan Penggugat tidak menerima jawaban terkait ini.</w:t>
      </w:r>
    </w:p>
    <w:p w14:paraId="6C440D97" w14:textId="0DEA832A" w:rsidR="00C44EAF" w:rsidRDefault="00C44EAF" w:rsidP="00C44EAF">
      <w:pPr>
        <w:jc w:val="both"/>
        <w:rPr>
          <w:rFonts w:ascii="Arial" w:hAnsi="Arial" w:cs="Arial"/>
          <w:noProof/>
          <w:sz w:val="24"/>
          <w:szCs w:val="24"/>
        </w:rPr>
      </w:pPr>
      <w:r w:rsidRPr="00C44EAF">
        <w:rPr>
          <w:rFonts w:ascii="Arial" w:hAnsi="Arial" w:cs="Arial"/>
          <w:noProof/>
          <w:sz w:val="24"/>
          <w:szCs w:val="24"/>
        </w:rPr>
        <w:t>Penggugat akhirnya mengajukan gugatan ke PTUN Bandung terkait objek sengketa. Dalam gugatan, dinyatakan juga dugaan pembobolan internet tanpa izin yang menguntungkan CV. Muara Rizky, serta perbuatan Tergugat yang menambah persyaratan pada waktu lelang berupa Personil Non Manajerial tanpa menambah waktu untuk memenuhinya. Gugatan ini dieksepsi Tergugat terkait kewenangan absolut PTUN Bandung karena sanggah banding yang diajukan Penggugat sudah melampaui waktu yang ditentukan dan tidak disertai dengan jaminan sehingga Penggugat dianggap tidak menempuh upaya administratif.</w:t>
      </w:r>
    </w:p>
    <w:p w14:paraId="296E2D82" w14:textId="592FFFA6" w:rsidR="00C44EAF" w:rsidRPr="00C44EAF" w:rsidRDefault="00C44EAF" w:rsidP="00C44EAF">
      <w:pPr>
        <w:jc w:val="both"/>
        <w:rPr>
          <w:rFonts w:ascii="Arial" w:hAnsi="Arial" w:cs="Arial"/>
          <w:noProof/>
          <w:sz w:val="24"/>
          <w:szCs w:val="24"/>
        </w:rPr>
      </w:pPr>
      <w:r w:rsidRPr="00C44EAF">
        <w:rPr>
          <w:rFonts w:ascii="Arial" w:hAnsi="Arial" w:cs="Arial"/>
          <w:noProof/>
          <w:sz w:val="24"/>
          <w:szCs w:val="24"/>
        </w:rPr>
        <w:t>PTUN Bandung dalam putusannya sebelum memasuki pokok perkara, menimbang objek sengketa sebagai keputusan tata usaha negara yang belum final karena masih dapat dilakukan sanggah dan sanggah banding sehingga memungkinkan terjadinya perubahan pemenang tender. Keputusan yang disebut final</w:t>
      </w:r>
      <w:r>
        <w:rPr>
          <w:rFonts w:ascii="Arial" w:hAnsi="Arial" w:cs="Arial"/>
          <w:noProof/>
          <w:sz w:val="24"/>
          <w:szCs w:val="24"/>
        </w:rPr>
        <w:t xml:space="preserve"> </w:t>
      </w:r>
      <w:r w:rsidRPr="00C44EAF">
        <w:rPr>
          <w:rFonts w:ascii="Arial" w:hAnsi="Arial" w:cs="Arial"/>
          <w:noProof/>
          <w:sz w:val="24"/>
          <w:szCs w:val="24"/>
        </w:rPr>
        <w:t xml:space="preserve">oleh Majelis Hakim adalah </w:t>
      </w:r>
      <w:r w:rsidRPr="00C44EAF">
        <w:rPr>
          <w:rFonts w:ascii="Arial" w:hAnsi="Arial" w:cs="Arial"/>
          <w:b/>
          <w:bCs/>
          <w:noProof/>
          <w:sz w:val="24"/>
          <w:szCs w:val="24"/>
        </w:rPr>
        <w:t>Surat Penunjukan Penyedia Barang/JASA (SPPBJ)</w:t>
      </w:r>
      <w:r w:rsidRPr="00C44EAF">
        <w:rPr>
          <w:rFonts w:ascii="Arial" w:hAnsi="Arial" w:cs="Arial"/>
          <w:noProof/>
          <w:sz w:val="24"/>
          <w:szCs w:val="24"/>
        </w:rPr>
        <w:t xml:space="preserve"> oleh PPK karena berakibat hukum hilangnya potensi Penggugat untuk menjadi pemenang tender.</w:t>
      </w:r>
    </w:p>
    <w:p w14:paraId="3AE436AE" w14:textId="2A113788" w:rsidR="00C44EAF" w:rsidRPr="00C44EAF" w:rsidRDefault="00C44EAF" w:rsidP="00C44EAF">
      <w:pPr>
        <w:jc w:val="both"/>
        <w:rPr>
          <w:rFonts w:ascii="Arial" w:hAnsi="Arial" w:cs="Arial"/>
          <w:noProof/>
          <w:sz w:val="24"/>
          <w:szCs w:val="24"/>
        </w:rPr>
      </w:pPr>
      <w:r w:rsidRPr="00C44EAF">
        <w:rPr>
          <w:rFonts w:ascii="Arial" w:hAnsi="Arial" w:cs="Arial"/>
          <w:noProof/>
          <w:sz w:val="24"/>
          <w:szCs w:val="24"/>
        </w:rPr>
        <w:t>Karena tidak ada kewenangan absolut pengadilan dalam perkara ini, maka Majelis memutus menerima eksepsi Tergugat dan menyatakan gugatan Penggugat tidak dapat diterima.</w:t>
      </w:r>
      <w:r>
        <w:rPr>
          <w:rFonts w:ascii="Arial" w:hAnsi="Arial" w:cs="Arial"/>
          <w:noProof/>
          <w:sz w:val="24"/>
          <w:szCs w:val="24"/>
        </w:rPr>
        <w:t xml:space="preserve"> </w:t>
      </w:r>
      <w:r w:rsidRPr="00C44EAF">
        <w:rPr>
          <w:rFonts w:ascii="Arial" w:hAnsi="Arial" w:cs="Arial"/>
          <w:noProof/>
          <w:sz w:val="24"/>
          <w:szCs w:val="24"/>
        </w:rPr>
        <w:t>Putusan ini dikuatkan pada tingkat banding. Di tingkat kasasi, Majelis Hakim Agung juga menimbang bahwa Judex Facti sudah benar dan tidak terdapat kesalahan dalam penerapan hukum karena objek sengketa adalah keputusan yang belum final atau bersifat definitif sehingga Majelis memutus menolak permohonan kasasi oleh Penggugat.</w:t>
      </w:r>
    </w:p>
    <w:p w14:paraId="28FF9540" w14:textId="506B79B1" w:rsidR="00C44EAF" w:rsidRPr="00C44EAF" w:rsidRDefault="00C44EAF" w:rsidP="00C44EAF">
      <w:pPr>
        <w:jc w:val="both"/>
        <w:rPr>
          <w:rFonts w:ascii="Arial" w:hAnsi="Arial" w:cs="Arial"/>
          <w:noProof/>
          <w:sz w:val="24"/>
          <w:szCs w:val="24"/>
        </w:rPr>
      </w:pPr>
    </w:p>
    <w:p w14:paraId="3AE4DC82" w14:textId="07D667A8" w:rsidR="00480A7B" w:rsidRDefault="00480A7B" w:rsidP="00480A7B">
      <w:pPr>
        <w:jc w:val="both"/>
        <w:rPr>
          <w:rFonts w:ascii="Arial" w:hAnsi="Arial" w:cs="Arial"/>
          <w:noProof/>
          <w:sz w:val="24"/>
          <w:szCs w:val="24"/>
        </w:rPr>
      </w:pPr>
      <w:r>
        <w:rPr>
          <w:rFonts w:ascii="Arial" w:hAnsi="Arial" w:cs="Arial"/>
          <w:noProof/>
          <w:sz w:val="24"/>
          <w:szCs w:val="24"/>
        </w:rPr>
        <w:t xml:space="preserve">→ Putusan Mahkamah Agung Nomor </w:t>
      </w:r>
      <w:r w:rsidR="000D01E9">
        <w:rPr>
          <w:rFonts w:ascii="Arial" w:hAnsi="Arial" w:cs="Arial"/>
          <w:noProof/>
          <w:sz w:val="24"/>
          <w:szCs w:val="24"/>
        </w:rPr>
        <w:t>288 K/TUN/2024, 16 Juli 2024</w:t>
      </w:r>
    </w:p>
    <w:p w14:paraId="78EC342D" w14:textId="6F0B6560" w:rsidR="00480A7B" w:rsidRDefault="00480A7B" w:rsidP="00480A7B">
      <w:pPr>
        <w:jc w:val="both"/>
      </w:pPr>
      <w:r>
        <w:rPr>
          <w:rFonts w:ascii="Arial" w:hAnsi="Arial" w:cs="Arial"/>
          <w:noProof/>
          <w:sz w:val="24"/>
          <w:szCs w:val="24"/>
        </w:rPr>
        <w:t xml:space="preserve">Sumber: </w:t>
      </w:r>
    </w:p>
    <w:p w14:paraId="7871D4F0" w14:textId="482DBE5B" w:rsidR="000D01E9" w:rsidRPr="000D01E9" w:rsidRDefault="000D01E9" w:rsidP="00480A7B">
      <w:pPr>
        <w:jc w:val="both"/>
        <w:rPr>
          <w:rFonts w:ascii="Arial" w:hAnsi="Arial" w:cs="Arial"/>
          <w:sz w:val="24"/>
          <w:szCs w:val="24"/>
        </w:rPr>
      </w:pPr>
      <w:hyperlink r:id="rId5" w:history="1">
        <w:r w:rsidRPr="000D01E9">
          <w:rPr>
            <w:rStyle w:val="Hyperlink"/>
            <w:rFonts w:ascii="Arial" w:hAnsi="Arial" w:cs="Arial"/>
            <w:sz w:val="24"/>
            <w:szCs w:val="24"/>
          </w:rPr>
          <w:t>https://putusan3.mahkamahagung.go.id/direktori/putusan/zaef68ec71d895e89bc6313233303230.html</w:t>
        </w:r>
      </w:hyperlink>
      <w:r w:rsidRPr="000D01E9">
        <w:rPr>
          <w:rFonts w:ascii="Arial" w:hAnsi="Arial" w:cs="Arial"/>
          <w:sz w:val="24"/>
          <w:szCs w:val="24"/>
        </w:rPr>
        <w:t xml:space="preserve"> </w:t>
      </w:r>
    </w:p>
    <w:p w14:paraId="189A9118" w14:textId="77777777" w:rsidR="00480A7B" w:rsidRPr="00251753" w:rsidRDefault="00480A7B" w:rsidP="00480A7B">
      <w:pPr>
        <w:jc w:val="both"/>
      </w:pPr>
    </w:p>
    <w:p w14:paraId="7CBD0B2D" w14:textId="77777777" w:rsidR="00480A7B" w:rsidRDefault="00480A7B" w:rsidP="00480A7B">
      <w:pPr>
        <w:spacing w:after="0"/>
        <w:jc w:val="both"/>
        <w:rPr>
          <w:rFonts w:ascii="Arial" w:hAnsi="Arial" w:cs="Arial"/>
          <w:noProof/>
          <w:sz w:val="24"/>
          <w:szCs w:val="24"/>
        </w:rPr>
      </w:pPr>
      <w:r>
        <w:rPr>
          <w:rFonts w:ascii="Arial" w:hAnsi="Arial" w:cs="Arial"/>
          <w:noProof/>
          <w:sz w:val="24"/>
          <w:szCs w:val="24"/>
        </w:rPr>
        <w:t>Salam Pengadaan,</w:t>
      </w:r>
    </w:p>
    <w:p w14:paraId="7B62A5CB" w14:textId="77777777" w:rsidR="00480A7B" w:rsidRDefault="00480A7B" w:rsidP="00480A7B">
      <w:pPr>
        <w:spacing w:after="0"/>
        <w:jc w:val="both"/>
        <w:rPr>
          <w:rFonts w:ascii="Arial" w:hAnsi="Arial" w:cs="Arial"/>
          <w:noProof/>
          <w:sz w:val="24"/>
          <w:szCs w:val="24"/>
        </w:rPr>
      </w:pPr>
      <w:r>
        <w:rPr>
          <w:rFonts w:ascii="Arial" w:hAnsi="Arial" w:cs="Arial"/>
          <w:noProof/>
          <w:sz w:val="24"/>
          <w:szCs w:val="24"/>
        </w:rPr>
        <w:t>LBH Pengadaan Publik Indonesia</w:t>
      </w:r>
    </w:p>
    <w:p w14:paraId="127F650B" w14:textId="77777777" w:rsidR="00480A7B" w:rsidRDefault="00480A7B" w:rsidP="00480A7B">
      <w:pPr>
        <w:spacing w:after="0"/>
        <w:jc w:val="both"/>
      </w:pPr>
      <w:r>
        <w:rPr>
          <w:rFonts w:ascii="Arial" w:hAnsi="Arial" w:cs="Arial"/>
          <w:noProof/>
          <w:sz w:val="24"/>
          <w:szCs w:val="24"/>
        </w:rPr>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K</w:t>
      </w:r>
    </w:p>
    <w:p w14:paraId="3C541A0F" w14:textId="77777777" w:rsidR="00480A7B" w:rsidRDefault="00480A7B" w:rsidP="00480A7B"/>
    <w:p w14:paraId="01787ABC" w14:textId="77777777" w:rsidR="00480A7B" w:rsidRDefault="00480A7B" w:rsidP="00480A7B"/>
    <w:p w14:paraId="06092424" w14:textId="77777777" w:rsidR="00480A7B" w:rsidRDefault="00480A7B" w:rsidP="00480A7B"/>
    <w:p w14:paraId="68FE71E0" w14:textId="77777777" w:rsidR="007C6969" w:rsidRDefault="007C6969"/>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980334"/>
    <w:multiLevelType w:val="hybridMultilevel"/>
    <w:tmpl w:val="5386CFA2"/>
    <w:lvl w:ilvl="0" w:tplc="87C0366C">
      <w:numFmt w:val="bullet"/>
      <w:lvlText w:val="-"/>
      <w:lvlJc w:val="left"/>
      <w:pPr>
        <w:ind w:left="720" w:hanging="360"/>
      </w:pPr>
      <w:rPr>
        <w:rFonts w:ascii="Arial" w:eastAsiaTheme="minorHAnsi"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723626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7B"/>
    <w:rsid w:val="0006353F"/>
    <w:rsid w:val="000D01E9"/>
    <w:rsid w:val="00163969"/>
    <w:rsid w:val="001B2363"/>
    <w:rsid w:val="002069AF"/>
    <w:rsid w:val="00261542"/>
    <w:rsid w:val="002625EE"/>
    <w:rsid w:val="003E4980"/>
    <w:rsid w:val="00422ADC"/>
    <w:rsid w:val="00480A7B"/>
    <w:rsid w:val="0058699C"/>
    <w:rsid w:val="005E324A"/>
    <w:rsid w:val="00776034"/>
    <w:rsid w:val="007C6969"/>
    <w:rsid w:val="0091349D"/>
    <w:rsid w:val="009412D5"/>
    <w:rsid w:val="00A70D52"/>
    <w:rsid w:val="00A919AE"/>
    <w:rsid w:val="00AC3D3D"/>
    <w:rsid w:val="00B317A9"/>
    <w:rsid w:val="00BB0B9F"/>
    <w:rsid w:val="00BF50D9"/>
    <w:rsid w:val="00C44EAF"/>
    <w:rsid w:val="00EB72A2"/>
    <w:rsid w:val="00ED75D5"/>
    <w:rsid w:val="00FA746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1B193"/>
  <w15:chartTrackingRefBased/>
  <w15:docId w15:val="{7146E03F-1AFE-4E87-A2B3-389FA4468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A7B"/>
  </w:style>
  <w:style w:type="paragraph" w:styleId="Heading1">
    <w:name w:val="heading 1"/>
    <w:basedOn w:val="Normal"/>
    <w:next w:val="Normal"/>
    <w:link w:val="Heading1Char"/>
    <w:uiPriority w:val="9"/>
    <w:qFormat/>
    <w:rsid w:val="00480A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80A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80A7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80A7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80A7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80A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0A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0A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0A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0A7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0A7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80A7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0A7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0A7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0A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0A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0A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0A7B"/>
    <w:rPr>
      <w:rFonts w:eastAsiaTheme="majorEastAsia" w:cstheme="majorBidi"/>
      <w:color w:val="272727" w:themeColor="text1" w:themeTint="D8"/>
    </w:rPr>
  </w:style>
  <w:style w:type="paragraph" w:styleId="Title">
    <w:name w:val="Title"/>
    <w:basedOn w:val="Normal"/>
    <w:next w:val="Normal"/>
    <w:link w:val="TitleChar"/>
    <w:uiPriority w:val="10"/>
    <w:qFormat/>
    <w:rsid w:val="00480A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0A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0A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0A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0A7B"/>
    <w:pPr>
      <w:spacing w:before="160"/>
      <w:jc w:val="center"/>
    </w:pPr>
    <w:rPr>
      <w:i/>
      <w:iCs/>
      <w:color w:val="404040" w:themeColor="text1" w:themeTint="BF"/>
    </w:rPr>
  </w:style>
  <w:style w:type="character" w:customStyle="1" w:styleId="QuoteChar">
    <w:name w:val="Quote Char"/>
    <w:basedOn w:val="DefaultParagraphFont"/>
    <w:link w:val="Quote"/>
    <w:uiPriority w:val="29"/>
    <w:rsid w:val="00480A7B"/>
    <w:rPr>
      <w:i/>
      <w:iCs/>
      <w:color w:val="404040" w:themeColor="text1" w:themeTint="BF"/>
    </w:rPr>
  </w:style>
  <w:style w:type="paragraph" w:styleId="ListParagraph">
    <w:name w:val="List Paragraph"/>
    <w:basedOn w:val="Normal"/>
    <w:uiPriority w:val="34"/>
    <w:qFormat/>
    <w:rsid w:val="00480A7B"/>
    <w:pPr>
      <w:ind w:left="720"/>
      <w:contextualSpacing/>
    </w:pPr>
  </w:style>
  <w:style w:type="character" w:styleId="IntenseEmphasis">
    <w:name w:val="Intense Emphasis"/>
    <w:basedOn w:val="DefaultParagraphFont"/>
    <w:uiPriority w:val="21"/>
    <w:qFormat/>
    <w:rsid w:val="00480A7B"/>
    <w:rPr>
      <w:i/>
      <w:iCs/>
      <w:color w:val="2F5496" w:themeColor="accent1" w:themeShade="BF"/>
    </w:rPr>
  </w:style>
  <w:style w:type="paragraph" w:styleId="IntenseQuote">
    <w:name w:val="Intense Quote"/>
    <w:basedOn w:val="Normal"/>
    <w:next w:val="Normal"/>
    <w:link w:val="IntenseQuoteChar"/>
    <w:uiPriority w:val="30"/>
    <w:qFormat/>
    <w:rsid w:val="00480A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0A7B"/>
    <w:rPr>
      <w:i/>
      <w:iCs/>
      <w:color w:val="2F5496" w:themeColor="accent1" w:themeShade="BF"/>
    </w:rPr>
  </w:style>
  <w:style w:type="character" w:styleId="IntenseReference">
    <w:name w:val="Intense Reference"/>
    <w:basedOn w:val="DefaultParagraphFont"/>
    <w:uiPriority w:val="32"/>
    <w:qFormat/>
    <w:rsid w:val="00480A7B"/>
    <w:rPr>
      <w:b/>
      <w:bCs/>
      <w:smallCaps/>
      <w:color w:val="2F5496" w:themeColor="accent1" w:themeShade="BF"/>
      <w:spacing w:val="5"/>
    </w:rPr>
  </w:style>
  <w:style w:type="character" w:styleId="Hyperlink">
    <w:name w:val="Hyperlink"/>
    <w:basedOn w:val="DefaultParagraphFont"/>
    <w:uiPriority w:val="99"/>
    <w:unhideWhenUsed/>
    <w:rsid w:val="00480A7B"/>
    <w:rPr>
      <w:color w:val="0563C1" w:themeColor="hyperlink"/>
      <w:u w:val="single"/>
    </w:rPr>
  </w:style>
  <w:style w:type="character" w:styleId="UnresolvedMention">
    <w:name w:val="Unresolved Mention"/>
    <w:basedOn w:val="DefaultParagraphFont"/>
    <w:uiPriority w:val="99"/>
    <w:semiHidden/>
    <w:unhideWhenUsed/>
    <w:rsid w:val="000D01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utusan3.mahkamahagung.go.id/direktori/putusan/zaef68ec71d895e89bc6313233303230.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2</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5</cp:revision>
  <dcterms:created xsi:type="dcterms:W3CDTF">2025-08-10T13:32:00Z</dcterms:created>
  <dcterms:modified xsi:type="dcterms:W3CDTF">2025-08-12T09:20:00Z</dcterms:modified>
</cp:coreProperties>
</file>