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4227F" w14:textId="77777777" w:rsidR="0013077C" w:rsidRDefault="0013077C" w:rsidP="0013077C">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4722C0FE" w14:textId="7B7FD0AF" w:rsidR="0013077C" w:rsidRDefault="00D360C5" w:rsidP="00D24378">
      <w:pPr>
        <w:jc w:val="both"/>
        <w:rPr>
          <w:rFonts w:ascii="Arial" w:hAnsi="Arial" w:cs="Arial"/>
          <w:b/>
          <w:bCs/>
          <w:noProof/>
          <w:sz w:val="24"/>
          <w:szCs w:val="24"/>
        </w:rPr>
      </w:pPr>
      <w:r>
        <w:rPr>
          <w:rFonts w:ascii="Arial" w:hAnsi="Arial" w:cs="Arial"/>
          <w:b/>
          <w:bCs/>
          <w:noProof/>
          <w:sz w:val="24"/>
          <w:szCs w:val="24"/>
        </w:rPr>
        <w:t>Jumat</w:t>
      </w:r>
      <w:r w:rsidR="0013077C">
        <w:rPr>
          <w:rFonts w:ascii="Arial" w:hAnsi="Arial" w:cs="Arial"/>
          <w:b/>
          <w:bCs/>
          <w:noProof/>
          <w:sz w:val="24"/>
          <w:szCs w:val="24"/>
        </w:rPr>
        <w:t xml:space="preserve">, </w:t>
      </w:r>
      <w:r>
        <w:rPr>
          <w:rFonts w:ascii="Arial" w:hAnsi="Arial" w:cs="Arial"/>
          <w:b/>
          <w:bCs/>
          <w:noProof/>
          <w:sz w:val="24"/>
          <w:szCs w:val="24"/>
        </w:rPr>
        <w:t>10</w:t>
      </w:r>
      <w:r w:rsidR="0013077C">
        <w:rPr>
          <w:rFonts w:ascii="Arial" w:hAnsi="Arial" w:cs="Arial"/>
          <w:b/>
          <w:bCs/>
          <w:noProof/>
          <w:sz w:val="24"/>
          <w:szCs w:val="24"/>
        </w:rPr>
        <w:t xml:space="preserve"> Oktober 2025</w:t>
      </w:r>
    </w:p>
    <w:p w14:paraId="0F9A1B6E" w14:textId="6DB5CCCA" w:rsidR="00D24378" w:rsidRDefault="00D24378" w:rsidP="00D24378">
      <w:pPr>
        <w:jc w:val="both"/>
        <w:rPr>
          <w:rFonts w:ascii="Arial" w:hAnsi="Arial" w:cs="Arial"/>
          <w:b/>
          <w:bCs/>
          <w:noProof/>
          <w:sz w:val="24"/>
          <w:szCs w:val="24"/>
        </w:rPr>
      </w:pPr>
      <w:r>
        <w:rPr>
          <w:rFonts w:ascii="Arial" w:hAnsi="Arial" w:cs="Arial"/>
          <w:b/>
          <w:bCs/>
          <w:noProof/>
          <w:sz w:val="24"/>
          <w:szCs w:val="24"/>
        </w:rPr>
        <w:t>JAWABAN SANGGAH ATAU SANGGAH BANDING OLEH PEJABAT TATA USAHA NEGARA TIDAK DAPAT DIJADIKAN OBJEK SENGKETA DI PENGADILAN TUN</w:t>
      </w:r>
    </w:p>
    <w:p w14:paraId="7D18819A" w14:textId="6DCE0ED0" w:rsidR="0013077C" w:rsidRDefault="0013077C" w:rsidP="0013077C">
      <w:pPr>
        <w:jc w:val="both"/>
        <w:rPr>
          <w:rFonts w:ascii="Arial" w:hAnsi="Arial" w:cs="Arial"/>
          <w:noProof/>
          <w:sz w:val="24"/>
          <w:szCs w:val="24"/>
        </w:rPr>
      </w:pPr>
      <w:r>
        <w:rPr>
          <w:rFonts w:ascii="Arial" w:hAnsi="Arial" w:cs="Arial"/>
          <w:noProof/>
          <w:sz w:val="24"/>
          <w:szCs w:val="24"/>
        </w:rPr>
        <w:t xml:space="preserve">Politeknik Negeri Samarinda mengumumkan pengadaan </w:t>
      </w:r>
      <w:r w:rsidR="005E20A1">
        <w:rPr>
          <w:rFonts w:ascii="Arial" w:hAnsi="Arial" w:cs="Arial"/>
          <w:noProof/>
          <w:sz w:val="24"/>
          <w:szCs w:val="24"/>
        </w:rPr>
        <w:t>dengan metode pemilihan</w:t>
      </w:r>
      <w:r w:rsidR="00FC53C6">
        <w:rPr>
          <w:rFonts w:ascii="Arial" w:hAnsi="Arial" w:cs="Arial"/>
          <w:noProof/>
          <w:sz w:val="24"/>
          <w:szCs w:val="24"/>
        </w:rPr>
        <w:t xml:space="preserve"> </w:t>
      </w:r>
      <w:r>
        <w:rPr>
          <w:rFonts w:ascii="Arial" w:hAnsi="Arial" w:cs="Arial"/>
          <w:noProof/>
          <w:sz w:val="24"/>
          <w:szCs w:val="24"/>
        </w:rPr>
        <w:t>tender</w:t>
      </w:r>
      <w:r w:rsidR="00FC53C6">
        <w:rPr>
          <w:rFonts w:ascii="Arial" w:hAnsi="Arial" w:cs="Arial"/>
          <w:noProof/>
          <w:sz w:val="24"/>
          <w:szCs w:val="24"/>
        </w:rPr>
        <w:t xml:space="preserve">, yaitu </w:t>
      </w:r>
      <w:r>
        <w:rPr>
          <w:rFonts w:ascii="Arial" w:hAnsi="Arial" w:cs="Arial"/>
          <w:noProof/>
          <w:sz w:val="24"/>
          <w:szCs w:val="24"/>
        </w:rPr>
        <w:t xml:space="preserve">Pekerjaan Pembangunan Lift Gedung Direktorat T.A 2022 yang diikuti oleh CV. Alfath Saguna </w:t>
      </w:r>
      <w:r w:rsidR="00FC53C6">
        <w:rPr>
          <w:rFonts w:ascii="Arial" w:hAnsi="Arial" w:cs="Arial"/>
          <w:noProof/>
          <w:sz w:val="24"/>
          <w:szCs w:val="24"/>
        </w:rPr>
        <w:t xml:space="preserve">(Penggugat) </w:t>
      </w:r>
      <w:r>
        <w:rPr>
          <w:rFonts w:ascii="Arial" w:hAnsi="Arial" w:cs="Arial"/>
          <w:noProof/>
          <w:sz w:val="24"/>
          <w:szCs w:val="24"/>
        </w:rPr>
        <w:t xml:space="preserve">sebagai salah satu peserta pemilihannya. </w:t>
      </w:r>
    </w:p>
    <w:p w14:paraId="1B099BAA" w14:textId="3A59C06C" w:rsidR="0013077C" w:rsidRDefault="0013077C" w:rsidP="0013077C">
      <w:pPr>
        <w:jc w:val="both"/>
        <w:rPr>
          <w:rFonts w:ascii="Arial" w:hAnsi="Arial" w:cs="Arial"/>
          <w:noProof/>
          <w:sz w:val="24"/>
          <w:szCs w:val="24"/>
        </w:rPr>
      </w:pPr>
      <w:r>
        <w:rPr>
          <w:rFonts w:ascii="Arial" w:hAnsi="Arial" w:cs="Arial"/>
          <w:noProof/>
          <w:sz w:val="24"/>
          <w:szCs w:val="24"/>
        </w:rPr>
        <w:t xml:space="preserve">Katika Berita Acara Hasil Pemilihan keluar, </w:t>
      </w:r>
      <w:r w:rsidR="00FC53C6">
        <w:rPr>
          <w:rFonts w:ascii="Arial" w:hAnsi="Arial" w:cs="Arial"/>
          <w:noProof/>
          <w:sz w:val="24"/>
          <w:szCs w:val="24"/>
        </w:rPr>
        <w:t>Penggugat</w:t>
      </w:r>
      <w:r>
        <w:rPr>
          <w:rFonts w:ascii="Arial" w:hAnsi="Arial" w:cs="Arial"/>
          <w:noProof/>
          <w:sz w:val="24"/>
          <w:szCs w:val="24"/>
        </w:rPr>
        <w:t xml:space="preserve"> dinyatakan tidak lulus dalam evaluasi teknis sehingga dilakukanlah upaya </w:t>
      </w:r>
      <w:r w:rsidR="00FE589C">
        <w:rPr>
          <w:rFonts w:ascii="Arial" w:hAnsi="Arial" w:cs="Arial"/>
          <w:noProof/>
          <w:sz w:val="24"/>
          <w:szCs w:val="24"/>
        </w:rPr>
        <w:t xml:space="preserve">keberatan melalui </w:t>
      </w:r>
      <w:r w:rsidR="00D24378">
        <w:rPr>
          <w:rFonts w:ascii="Arial" w:hAnsi="Arial" w:cs="Arial"/>
          <w:noProof/>
          <w:sz w:val="24"/>
          <w:szCs w:val="24"/>
        </w:rPr>
        <w:t>S</w:t>
      </w:r>
      <w:r w:rsidR="00FE589C">
        <w:rPr>
          <w:rFonts w:ascii="Arial" w:hAnsi="Arial" w:cs="Arial"/>
          <w:noProof/>
          <w:sz w:val="24"/>
          <w:szCs w:val="24"/>
        </w:rPr>
        <w:t xml:space="preserve">anggah kepada Pokja Pemilihan. </w:t>
      </w:r>
      <w:r w:rsidR="00FC53C6">
        <w:rPr>
          <w:rFonts w:ascii="Arial" w:hAnsi="Arial" w:cs="Arial"/>
          <w:noProof/>
          <w:sz w:val="24"/>
          <w:szCs w:val="24"/>
        </w:rPr>
        <w:t xml:space="preserve">Selanjutnya, CV. Alfath Saguna mengajukan </w:t>
      </w:r>
      <w:r w:rsidR="00D24378">
        <w:rPr>
          <w:rFonts w:ascii="Arial" w:hAnsi="Arial" w:cs="Arial"/>
          <w:noProof/>
          <w:sz w:val="24"/>
          <w:szCs w:val="24"/>
        </w:rPr>
        <w:t>S</w:t>
      </w:r>
      <w:r w:rsidR="00FC53C6">
        <w:rPr>
          <w:rFonts w:ascii="Arial" w:hAnsi="Arial" w:cs="Arial"/>
          <w:noProof/>
          <w:sz w:val="24"/>
          <w:szCs w:val="24"/>
        </w:rPr>
        <w:t xml:space="preserve">anggah </w:t>
      </w:r>
      <w:r w:rsidR="00D24378">
        <w:rPr>
          <w:rFonts w:ascii="Arial" w:hAnsi="Arial" w:cs="Arial"/>
          <w:noProof/>
          <w:sz w:val="24"/>
          <w:szCs w:val="24"/>
        </w:rPr>
        <w:t>B</w:t>
      </w:r>
      <w:r w:rsidR="00FC53C6">
        <w:rPr>
          <w:rFonts w:ascii="Arial" w:hAnsi="Arial" w:cs="Arial"/>
          <w:noProof/>
          <w:sz w:val="24"/>
          <w:szCs w:val="24"/>
        </w:rPr>
        <w:t>anding kepada KPA Politeknik Negeri Samarinda</w:t>
      </w:r>
      <w:r w:rsidR="00540C2D">
        <w:rPr>
          <w:rFonts w:ascii="Arial" w:hAnsi="Arial" w:cs="Arial"/>
          <w:noProof/>
          <w:sz w:val="24"/>
          <w:szCs w:val="24"/>
        </w:rPr>
        <w:t xml:space="preserve"> (Tergugat)</w:t>
      </w:r>
      <w:r w:rsidR="00FC53C6">
        <w:rPr>
          <w:rFonts w:ascii="Arial" w:hAnsi="Arial" w:cs="Arial"/>
          <w:noProof/>
          <w:sz w:val="24"/>
          <w:szCs w:val="24"/>
        </w:rPr>
        <w:t xml:space="preserve"> karena merasa tidak puas dengan </w:t>
      </w:r>
      <w:r w:rsidR="00D24378">
        <w:rPr>
          <w:rFonts w:ascii="Arial" w:hAnsi="Arial" w:cs="Arial"/>
          <w:noProof/>
          <w:sz w:val="24"/>
          <w:szCs w:val="24"/>
        </w:rPr>
        <w:t>J</w:t>
      </w:r>
      <w:r w:rsidR="00FC53C6">
        <w:rPr>
          <w:rFonts w:ascii="Arial" w:hAnsi="Arial" w:cs="Arial"/>
          <w:noProof/>
          <w:sz w:val="24"/>
          <w:szCs w:val="24"/>
        </w:rPr>
        <w:t xml:space="preserve">awaban </w:t>
      </w:r>
      <w:r w:rsidR="00D24378">
        <w:rPr>
          <w:rFonts w:ascii="Arial" w:hAnsi="Arial" w:cs="Arial"/>
          <w:noProof/>
          <w:sz w:val="24"/>
          <w:szCs w:val="24"/>
        </w:rPr>
        <w:t>S</w:t>
      </w:r>
      <w:r w:rsidR="00FC53C6">
        <w:rPr>
          <w:rFonts w:ascii="Arial" w:hAnsi="Arial" w:cs="Arial"/>
          <w:noProof/>
          <w:sz w:val="24"/>
          <w:szCs w:val="24"/>
        </w:rPr>
        <w:t>anggah dari Pokja Pemilihan.</w:t>
      </w:r>
    </w:p>
    <w:p w14:paraId="749D1276" w14:textId="5D2B27C7" w:rsidR="00FC53C6" w:rsidRDefault="00FC53C6" w:rsidP="0013077C">
      <w:pPr>
        <w:jc w:val="both"/>
        <w:rPr>
          <w:rFonts w:ascii="Arial" w:hAnsi="Arial" w:cs="Arial"/>
          <w:noProof/>
          <w:sz w:val="24"/>
          <w:szCs w:val="24"/>
        </w:rPr>
      </w:pPr>
      <w:r>
        <w:rPr>
          <w:rFonts w:ascii="Arial" w:hAnsi="Arial" w:cs="Arial"/>
          <w:noProof/>
          <w:sz w:val="24"/>
          <w:szCs w:val="24"/>
        </w:rPr>
        <w:t xml:space="preserve">Terhadap </w:t>
      </w:r>
      <w:r w:rsidR="00D24378">
        <w:rPr>
          <w:rFonts w:ascii="Arial" w:hAnsi="Arial" w:cs="Arial"/>
          <w:noProof/>
          <w:sz w:val="24"/>
          <w:szCs w:val="24"/>
        </w:rPr>
        <w:t>J</w:t>
      </w:r>
      <w:r>
        <w:rPr>
          <w:rFonts w:ascii="Arial" w:hAnsi="Arial" w:cs="Arial"/>
          <w:noProof/>
          <w:sz w:val="24"/>
          <w:szCs w:val="24"/>
        </w:rPr>
        <w:t xml:space="preserve">awaban </w:t>
      </w:r>
      <w:r w:rsidR="00D24378">
        <w:rPr>
          <w:rFonts w:ascii="Arial" w:hAnsi="Arial" w:cs="Arial"/>
          <w:noProof/>
          <w:sz w:val="24"/>
          <w:szCs w:val="24"/>
        </w:rPr>
        <w:t>S</w:t>
      </w:r>
      <w:r>
        <w:rPr>
          <w:rFonts w:ascii="Arial" w:hAnsi="Arial" w:cs="Arial"/>
          <w:noProof/>
          <w:sz w:val="24"/>
          <w:szCs w:val="24"/>
        </w:rPr>
        <w:t xml:space="preserve">anggah </w:t>
      </w:r>
      <w:r w:rsidR="00D24378">
        <w:rPr>
          <w:rFonts w:ascii="Arial" w:hAnsi="Arial" w:cs="Arial"/>
          <w:noProof/>
          <w:sz w:val="24"/>
          <w:szCs w:val="24"/>
        </w:rPr>
        <w:t>B</w:t>
      </w:r>
      <w:r>
        <w:rPr>
          <w:rFonts w:ascii="Arial" w:hAnsi="Arial" w:cs="Arial"/>
          <w:noProof/>
          <w:sz w:val="24"/>
          <w:szCs w:val="24"/>
        </w:rPr>
        <w:t xml:space="preserve">anding dari </w:t>
      </w:r>
      <w:r w:rsidR="00540C2D">
        <w:rPr>
          <w:rFonts w:ascii="Arial" w:hAnsi="Arial" w:cs="Arial"/>
          <w:noProof/>
          <w:sz w:val="24"/>
          <w:szCs w:val="24"/>
        </w:rPr>
        <w:t>Tergugat</w:t>
      </w:r>
      <w:r>
        <w:rPr>
          <w:rFonts w:ascii="Arial" w:hAnsi="Arial" w:cs="Arial"/>
          <w:noProof/>
          <w:sz w:val="24"/>
          <w:szCs w:val="24"/>
        </w:rPr>
        <w:t xml:space="preserve">, </w:t>
      </w:r>
      <w:r w:rsidR="00540C2D">
        <w:rPr>
          <w:rFonts w:ascii="Arial" w:hAnsi="Arial" w:cs="Arial"/>
          <w:noProof/>
          <w:sz w:val="24"/>
          <w:szCs w:val="24"/>
        </w:rPr>
        <w:t>Penggugat</w:t>
      </w:r>
      <w:r>
        <w:rPr>
          <w:rFonts w:ascii="Arial" w:hAnsi="Arial" w:cs="Arial"/>
          <w:noProof/>
          <w:sz w:val="24"/>
          <w:szCs w:val="24"/>
        </w:rPr>
        <w:t xml:space="preserve"> masih merasa keberatan sehingga diajukanlah gugatan ke PTUN Samarinda dengan menjadikan surat </w:t>
      </w:r>
      <w:r w:rsidRPr="00D24378">
        <w:rPr>
          <w:rFonts w:ascii="Arial" w:hAnsi="Arial" w:cs="Arial"/>
          <w:b/>
          <w:bCs/>
          <w:noProof/>
          <w:sz w:val="24"/>
          <w:szCs w:val="24"/>
        </w:rPr>
        <w:t>Jawaban Sanggah Banding</w:t>
      </w:r>
      <w:r>
        <w:rPr>
          <w:rFonts w:ascii="Arial" w:hAnsi="Arial" w:cs="Arial"/>
          <w:noProof/>
          <w:sz w:val="24"/>
          <w:szCs w:val="24"/>
        </w:rPr>
        <w:t xml:space="preserve"> tersebut sebagai </w:t>
      </w:r>
      <w:r w:rsidRPr="00D24378">
        <w:rPr>
          <w:rFonts w:ascii="Arial" w:hAnsi="Arial" w:cs="Arial"/>
          <w:b/>
          <w:bCs/>
          <w:noProof/>
          <w:sz w:val="24"/>
          <w:szCs w:val="24"/>
        </w:rPr>
        <w:t>Objek Sengketanya</w:t>
      </w:r>
      <w:r>
        <w:rPr>
          <w:rFonts w:ascii="Arial" w:hAnsi="Arial" w:cs="Arial"/>
          <w:noProof/>
          <w:sz w:val="24"/>
          <w:szCs w:val="24"/>
        </w:rPr>
        <w:t>.</w:t>
      </w:r>
    </w:p>
    <w:p w14:paraId="7A1384CA" w14:textId="54067291" w:rsidR="00FC53C6" w:rsidRDefault="00FC53C6" w:rsidP="0013077C">
      <w:pPr>
        <w:jc w:val="both"/>
        <w:rPr>
          <w:rFonts w:ascii="Arial" w:hAnsi="Arial" w:cs="Arial"/>
          <w:noProof/>
          <w:sz w:val="24"/>
          <w:szCs w:val="24"/>
        </w:rPr>
      </w:pPr>
      <w:r>
        <w:rPr>
          <w:rFonts w:ascii="Arial" w:hAnsi="Arial" w:cs="Arial"/>
          <w:noProof/>
          <w:sz w:val="24"/>
          <w:szCs w:val="24"/>
        </w:rPr>
        <w:t xml:space="preserve">Majelis Hakim PTUN Samarinda memutus dengan menyatakan gugatan Penggugat tidak diterima </w:t>
      </w:r>
      <w:r w:rsidR="00540C2D">
        <w:rPr>
          <w:rFonts w:ascii="Arial" w:hAnsi="Arial" w:cs="Arial"/>
          <w:noProof/>
          <w:sz w:val="24"/>
          <w:szCs w:val="24"/>
        </w:rPr>
        <w:t>karena menimbang eksepsi Tergugat terkait kewenangan absolut pengadilan. Putusan ini kemudian dibatalkan pada tingkat Banding di PTTUN Banjarmasin dengan mengadili sendiri, yaitu menyatakan gugatan tidak diterima karena menimbang Penggugat telah salah menjadikan Jawaban Sanggah Banding sebagai Objek Sengketa di Peradilan TUN.</w:t>
      </w:r>
    </w:p>
    <w:p w14:paraId="639F6B94" w14:textId="379BE6DF" w:rsidR="00540C2D" w:rsidRPr="0013077C" w:rsidRDefault="00540C2D" w:rsidP="0013077C">
      <w:pPr>
        <w:jc w:val="both"/>
        <w:rPr>
          <w:rFonts w:ascii="Arial" w:hAnsi="Arial" w:cs="Arial"/>
          <w:noProof/>
          <w:sz w:val="24"/>
          <w:szCs w:val="24"/>
        </w:rPr>
      </w:pPr>
      <w:r>
        <w:rPr>
          <w:rFonts w:ascii="Arial" w:hAnsi="Arial" w:cs="Arial"/>
          <w:noProof/>
          <w:sz w:val="24"/>
          <w:szCs w:val="24"/>
        </w:rPr>
        <w:t xml:space="preserve">Di tingkat Kasasi, Majelis Hakim Agung menyatakan Judex Facti PTTUN Banjarmasin sudah benar dan tidak terdapat kesalahan dalam penerapan hukum dengan pertimbangan </w:t>
      </w:r>
      <w:r w:rsidR="00D24378">
        <w:rPr>
          <w:rFonts w:ascii="Arial" w:hAnsi="Arial" w:cs="Arial"/>
          <w:noProof/>
          <w:sz w:val="24"/>
          <w:szCs w:val="24"/>
        </w:rPr>
        <w:t xml:space="preserve">bahwa tahap Sanggah dan Sanggah Banding merupakan Upaya Administratif atas dikeluarkannya suatu Keputusan Tata Usaha Negara yang dalam hal ini adalah Berita Acara Hasil Pemilihan, sehingga </w:t>
      </w:r>
      <w:r w:rsidR="00D24378" w:rsidRPr="006E579A">
        <w:rPr>
          <w:rFonts w:ascii="Arial" w:hAnsi="Arial" w:cs="Arial"/>
          <w:b/>
          <w:bCs/>
          <w:noProof/>
          <w:sz w:val="24"/>
          <w:szCs w:val="24"/>
        </w:rPr>
        <w:t>jawaban dari Sanggah atau Sanggah Banding bukanlah Objek Sengketa Peradilan TUN.</w:t>
      </w:r>
    </w:p>
    <w:p w14:paraId="62801B07" w14:textId="77777777" w:rsidR="0013077C" w:rsidRPr="0013032D" w:rsidRDefault="0013077C" w:rsidP="0013077C">
      <w:pPr>
        <w:jc w:val="both"/>
        <w:rPr>
          <w:rFonts w:ascii="Arial" w:hAnsi="Arial" w:cs="Arial"/>
          <w:b/>
          <w:bCs/>
          <w:noProof/>
          <w:sz w:val="24"/>
          <w:szCs w:val="24"/>
        </w:rPr>
      </w:pPr>
    </w:p>
    <w:p w14:paraId="29CB0F58" w14:textId="725CE218" w:rsidR="0013077C" w:rsidRDefault="0013077C" w:rsidP="0013077C">
      <w:pPr>
        <w:jc w:val="both"/>
        <w:rPr>
          <w:rFonts w:ascii="Arial" w:hAnsi="Arial" w:cs="Arial"/>
          <w:noProof/>
          <w:sz w:val="24"/>
          <w:szCs w:val="24"/>
        </w:rPr>
      </w:pPr>
      <w:r>
        <w:rPr>
          <w:rFonts w:ascii="Arial" w:hAnsi="Arial" w:cs="Arial"/>
          <w:noProof/>
          <w:sz w:val="24"/>
          <w:szCs w:val="24"/>
        </w:rPr>
        <w:t xml:space="preserve">→ Putusan Mahkamah Agung Nomor 348 K/TUN/2023, Tanggal 23 Oktober 2023 </w:t>
      </w:r>
    </w:p>
    <w:p w14:paraId="6E185C10" w14:textId="38998791" w:rsidR="0013077C" w:rsidRPr="00151CCB" w:rsidRDefault="0013077C" w:rsidP="0013077C">
      <w:pPr>
        <w:jc w:val="both"/>
        <w:rPr>
          <w:rFonts w:ascii="Arial" w:hAnsi="Arial" w:cs="Arial"/>
          <w:sz w:val="24"/>
          <w:szCs w:val="24"/>
        </w:rPr>
      </w:pPr>
      <w:r w:rsidRPr="00151CCB">
        <w:rPr>
          <w:rFonts w:ascii="Arial" w:hAnsi="Arial" w:cs="Arial"/>
          <w:noProof/>
          <w:sz w:val="24"/>
          <w:szCs w:val="24"/>
        </w:rPr>
        <w:t xml:space="preserve">Sumber: </w:t>
      </w:r>
      <w:hyperlink r:id="rId4" w:history="1">
        <w:r w:rsidRPr="00DD180F">
          <w:rPr>
            <w:rStyle w:val="Hyperlink"/>
            <w:rFonts w:ascii="Arial" w:hAnsi="Arial" w:cs="Arial"/>
            <w:noProof/>
            <w:sz w:val="24"/>
            <w:szCs w:val="24"/>
          </w:rPr>
          <w:t>https://putusan3.mahkamahagung.go.id/direktori/putusan/zaee94ae867269f68aed313031323539.html</w:t>
        </w:r>
      </w:hyperlink>
      <w:r>
        <w:rPr>
          <w:rFonts w:ascii="Arial" w:hAnsi="Arial" w:cs="Arial"/>
          <w:noProof/>
          <w:sz w:val="24"/>
          <w:szCs w:val="24"/>
        </w:rPr>
        <w:t xml:space="preserve"> </w:t>
      </w:r>
    </w:p>
    <w:p w14:paraId="3790BB63" w14:textId="77777777" w:rsidR="0013077C" w:rsidRPr="00251753" w:rsidRDefault="0013077C" w:rsidP="0013077C">
      <w:pPr>
        <w:jc w:val="both"/>
      </w:pPr>
    </w:p>
    <w:p w14:paraId="46719C42" w14:textId="77777777" w:rsidR="0013077C" w:rsidRDefault="0013077C" w:rsidP="0013077C">
      <w:pPr>
        <w:spacing w:after="0"/>
        <w:jc w:val="both"/>
        <w:rPr>
          <w:rFonts w:ascii="Arial" w:hAnsi="Arial" w:cs="Arial"/>
          <w:noProof/>
          <w:sz w:val="24"/>
          <w:szCs w:val="24"/>
        </w:rPr>
      </w:pPr>
      <w:r>
        <w:rPr>
          <w:rFonts w:ascii="Arial" w:hAnsi="Arial" w:cs="Arial"/>
          <w:noProof/>
          <w:sz w:val="24"/>
          <w:szCs w:val="24"/>
        </w:rPr>
        <w:t>Salam Pengadaan,</w:t>
      </w:r>
    </w:p>
    <w:p w14:paraId="0F845AE8" w14:textId="77777777" w:rsidR="0013077C" w:rsidRDefault="0013077C" w:rsidP="0013077C">
      <w:pPr>
        <w:spacing w:after="0"/>
        <w:jc w:val="both"/>
        <w:rPr>
          <w:rFonts w:ascii="Arial" w:hAnsi="Arial" w:cs="Arial"/>
          <w:noProof/>
          <w:sz w:val="24"/>
          <w:szCs w:val="24"/>
        </w:rPr>
      </w:pPr>
      <w:r>
        <w:rPr>
          <w:rFonts w:ascii="Arial" w:hAnsi="Arial" w:cs="Arial"/>
          <w:noProof/>
          <w:sz w:val="24"/>
          <w:szCs w:val="24"/>
        </w:rPr>
        <w:t>LBH Pengadaan Publik Indonesia</w:t>
      </w:r>
    </w:p>
    <w:p w14:paraId="63A04255" w14:textId="77777777" w:rsidR="0013077C" w:rsidRDefault="0013077C" w:rsidP="0013077C">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2C5DF797"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77C"/>
    <w:rsid w:val="0013077C"/>
    <w:rsid w:val="00355250"/>
    <w:rsid w:val="00422ADC"/>
    <w:rsid w:val="00540C2D"/>
    <w:rsid w:val="005E20A1"/>
    <w:rsid w:val="006E579A"/>
    <w:rsid w:val="00776034"/>
    <w:rsid w:val="007C6969"/>
    <w:rsid w:val="008D222E"/>
    <w:rsid w:val="00977852"/>
    <w:rsid w:val="00D24378"/>
    <w:rsid w:val="00D360C5"/>
    <w:rsid w:val="00E36084"/>
    <w:rsid w:val="00FC53C6"/>
    <w:rsid w:val="00FE589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EBBAC"/>
  <w15:chartTrackingRefBased/>
  <w15:docId w15:val="{16096382-3279-4F5A-8674-610FF3BD9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77C"/>
  </w:style>
  <w:style w:type="paragraph" w:styleId="Heading1">
    <w:name w:val="heading 1"/>
    <w:basedOn w:val="Normal"/>
    <w:next w:val="Normal"/>
    <w:link w:val="Heading1Char"/>
    <w:uiPriority w:val="9"/>
    <w:qFormat/>
    <w:rsid w:val="001307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07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07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07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07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07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7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7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7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7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07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07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07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07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07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7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7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77C"/>
    <w:rPr>
      <w:rFonts w:eastAsiaTheme="majorEastAsia" w:cstheme="majorBidi"/>
      <w:color w:val="272727" w:themeColor="text1" w:themeTint="D8"/>
    </w:rPr>
  </w:style>
  <w:style w:type="paragraph" w:styleId="Title">
    <w:name w:val="Title"/>
    <w:basedOn w:val="Normal"/>
    <w:next w:val="Normal"/>
    <w:link w:val="TitleChar"/>
    <w:uiPriority w:val="10"/>
    <w:qFormat/>
    <w:rsid w:val="001307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7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7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7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77C"/>
    <w:pPr>
      <w:spacing w:before="160"/>
      <w:jc w:val="center"/>
    </w:pPr>
    <w:rPr>
      <w:i/>
      <w:iCs/>
      <w:color w:val="404040" w:themeColor="text1" w:themeTint="BF"/>
    </w:rPr>
  </w:style>
  <w:style w:type="character" w:customStyle="1" w:styleId="QuoteChar">
    <w:name w:val="Quote Char"/>
    <w:basedOn w:val="DefaultParagraphFont"/>
    <w:link w:val="Quote"/>
    <w:uiPriority w:val="29"/>
    <w:rsid w:val="0013077C"/>
    <w:rPr>
      <w:i/>
      <w:iCs/>
      <w:color w:val="404040" w:themeColor="text1" w:themeTint="BF"/>
    </w:rPr>
  </w:style>
  <w:style w:type="paragraph" w:styleId="ListParagraph">
    <w:name w:val="List Paragraph"/>
    <w:basedOn w:val="Normal"/>
    <w:uiPriority w:val="34"/>
    <w:qFormat/>
    <w:rsid w:val="0013077C"/>
    <w:pPr>
      <w:ind w:left="720"/>
      <w:contextualSpacing/>
    </w:pPr>
  </w:style>
  <w:style w:type="character" w:styleId="IntenseEmphasis">
    <w:name w:val="Intense Emphasis"/>
    <w:basedOn w:val="DefaultParagraphFont"/>
    <w:uiPriority w:val="21"/>
    <w:qFormat/>
    <w:rsid w:val="0013077C"/>
    <w:rPr>
      <w:i/>
      <w:iCs/>
      <w:color w:val="2F5496" w:themeColor="accent1" w:themeShade="BF"/>
    </w:rPr>
  </w:style>
  <w:style w:type="paragraph" w:styleId="IntenseQuote">
    <w:name w:val="Intense Quote"/>
    <w:basedOn w:val="Normal"/>
    <w:next w:val="Normal"/>
    <w:link w:val="IntenseQuoteChar"/>
    <w:uiPriority w:val="30"/>
    <w:qFormat/>
    <w:rsid w:val="001307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077C"/>
    <w:rPr>
      <w:i/>
      <w:iCs/>
      <w:color w:val="2F5496" w:themeColor="accent1" w:themeShade="BF"/>
    </w:rPr>
  </w:style>
  <w:style w:type="character" w:styleId="IntenseReference">
    <w:name w:val="Intense Reference"/>
    <w:basedOn w:val="DefaultParagraphFont"/>
    <w:uiPriority w:val="32"/>
    <w:qFormat/>
    <w:rsid w:val="0013077C"/>
    <w:rPr>
      <w:b/>
      <w:bCs/>
      <w:smallCaps/>
      <w:color w:val="2F5496" w:themeColor="accent1" w:themeShade="BF"/>
      <w:spacing w:val="5"/>
    </w:rPr>
  </w:style>
  <w:style w:type="character" w:styleId="Hyperlink">
    <w:name w:val="Hyperlink"/>
    <w:basedOn w:val="DefaultParagraphFont"/>
    <w:uiPriority w:val="99"/>
    <w:unhideWhenUsed/>
    <w:rsid w:val="0013077C"/>
    <w:rPr>
      <w:color w:val="0563C1" w:themeColor="hyperlink"/>
      <w:u w:val="single"/>
    </w:rPr>
  </w:style>
  <w:style w:type="character" w:styleId="UnresolvedMention">
    <w:name w:val="Unresolved Mention"/>
    <w:basedOn w:val="DefaultParagraphFont"/>
    <w:uiPriority w:val="99"/>
    <w:semiHidden/>
    <w:unhideWhenUsed/>
    <w:rsid w:val="00130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e94ae867269f68aed3130313235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5</cp:revision>
  <dcterms:created xsi:type="dcterms:W3CDTF">2025-10-06T02:27:00Z</dcterms:created>
  <dcterms:modified xsi:type="dcterms:W3CDTF">2025-10-10T05:47:00Z</dcterms:modified>
</cp:coreProperties>
</file>