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737B8" w14:textId="77777777" w:rsidR="00675396" w:rsidRDefault="00675396" w:rsidP="00675396">
      <w:pPr>
        <w:spacing w:after="0"/>
        <w:jc w:val="both"/>
        <w:rPr>
          <w:rFonts w:ascii="Arial" w:hAnsi="Arial" w:cs="Arial"/>
          <w:b/>
          <w:bCs/>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73A23A70" w14:textId="1B86DA03" w:rsidR="00675396" w:rsidRPr="00675396" w:rsidRDefault="00675396" w:rsidP="00675396">
      <w:pPr>
        <w:jc w:val="both"/>
        <w:rPr>
          <w:rFonts w:ascii="Arial" w:hAnsi="Arial" w:cs="Arial"/>
          <w:noProof/>
          <w:sz w:val="24"/>
          <w:szCs w:val="24"/>
        </w:rPr>
      </w:pPr>
      <w:r>
        <w:rPr>
          <w:rFonts w:ascii="Arial" w:hAnsi="Arial" w:cs="Arial"/>
          <w:b/>
          <w:bCs/>
          <w:noProof/>
          <w:sz w:val="24"/>
          <w:szCs w:val="24"/>
        </w:rPr>
        <w:t>S</w:t>
      </w:r>
      <w:r w:rsidR="0060608C">
        <w:rPr>
          <w:rFonts w:ascii="Arial" w:hAnsi="Arial" w:cs="Arial"/>
          <w:b/>
          <w:bCs/>
          <w:noProof/>
          <w:sz w:val="24"/>
          <w:szCs w:val="24"/>
        </w:rPr>
        <w:t>enin</w:t>
      </w:r>
      <w:r>
        <w:rPr>
          <w:rFonts w:ascii="Arial" w:hAnsi="Arial" w:cs="Arial"/>
          <w:b/>
          <w:bCs/>
          <w:noProof/>
          <w:sz w:val="24"/>
          <w:szCs w:val="24"/>
        </w:rPr>
        <w:t>, 2</w:t>
      </w:r>
      <w:r w:rsidR="0060608C">
        <w:rPr>
          <w:rFonts w:ascii="Arial" w:hAnsi="Arial" w:cs="Arial"/>
          <w:b/>
          <w:bCs/>
          <w:noProof/>
          <w:sz w:val="24"/>
          <w:szCs w:val="24"/>
        </w:rPr>
        <w:t>9</w:t>
      </w:r>
      <w:r>
        <w:rPr>
          <w:rFonts w:ascii="Arial" w:hAnsi="Arial" w:cs="Arial"/>
          <w:b/>
          <w:bCs/>
          <w:noProof/>
          <w:sz w:val="24"/>
          <w:szCs w:val="24"/>
        </w:rPr>
        <w:t xml:space="preserve"> September 2025</w:t>
      </w:r>
    </w:p>
    <w:p w14:paraId="363E2A70" w14:textId="5A52DCDB" w:rsidR="00675396" w:rsidRPr="00675396" w:rsidRDefault="00675396" w:rsidP="00675396">
      <w:pPr>
        <w:jc w:val="both"/>
        <w:rPr>
          <w:rFonts w:ascii="Arial" w:hAnsi="Arial" w:cs="Arial"/>
          <w:b/>
          <w:bCs/>
          <w:noProof/>
          <w:sz w:val="24"/>
          <w:szCs w:val="24"/>
        </w:rPr>
      </w:pPr>
      <w:r w:rsidRPr="00675396">
        <w:rPr>
          <w:rFonts w:ascii="Arial" w:hAnsi="Arial" w:cs="Arial"/>
          <w:b/>
          <w:bCs/>
          <w:noProof/>
          <w:sz w:val="24"/>
          <w:szCs w:val="24"/>
        </w:rPr>
        <w:t>MAHKAMAH AGUNG MEMUTUS PELAKU KORUPSI PENGADAAN DENGAN PIDANA PENJARA YANG MELEBIHI DARI TUNTUTAN PENUNTUT UMUM DENGAN PERTIMBANGAN UNTUK KONSISTENSI PUTUSAN DAN KESATUAN PENDAPAT HUKUM DALAM PRAKTIK PEMBERANTASAN KORUPSI</w:t>
      </w:r>
    </w:p>
    <w:p w14:paraId="068E6374" w14:textId="77777777" w:rsidR="00756A02" w:rsidRDefault="00756A02" w:rsidP="00756A02">
      <w:pPr>
        <w:jc w:val="both"/>
        <w:rPr>
          <w:rFonts w:ascii="Arial" w:hAnsi="Arial" w:cs="Arial"/>
          <w:noProof/>
          <w:sz w:val="24"/>
          <w:szCs w:val="24"/>
        </w:rPr>
      </w:pPr>
      <w:r w:rsidRPr="00756A02">
        <w:rPr>
          <w:rFonts w:ascii="Arial" w:hAnsi="Arial" w:cs="Arial"/>
          <w:noProof/>
          <w:sz w:val="24"/>
          <w:szCs w:val="24"/>
        </w:rPr>
        <w:t xml:space="preserve">Pada tahun </w:t>
      </w:r>
      <w:r w:rsidRPr="00756A02">
        <w:rPr>
          <w:rFonts w:ascii="Arial" w:hAnsi="Arial" w:cs="Arial"/>
          <w:b/>
          <w:bCs/>
          <w:noProof/>
          <w:sz w:val="24"/>
          <w:szCs w:val="24"/>
        </w:rPr>
        <w:t>2019</w:t>
      </w:r>
      <w:r w:rsidRPr="00756A02">
        <w:rPr>
          <w:rFonts w:ascii="Arial" w:hAnsi="Arial" w:cs="Arial"/>
          <w:noProof/>
          <w:sz w:val="24"/>
          <w:szCs w:val="24"/>
        </w:rPr>
        <w:t>, Penuntut Umum menuntut Nasir (Terdakwa) di Pengadilan Tipikor PN Makassar yang pada pokoknya dengan pidana penjara 1 tahun 9 bulan, denda Rp. 50.000.000 yang apabila tidak dibayar diganti pidana penjara 2 bulan, serta membayar uang pengganti Rp. 170.059.987 yang apabila tidak dibayar dalam 1 bulan maka harta bendanya dilelang dan apabila tidak mencukupi diganti pidana penjara 4 bulan.</w:t>
      </w:r>
    </w:p>
    <w:p w14:paraId="2CB15D8A" w14:textId="3FE63689" w:rsidR="00756A02" w:rsidRDefault="00756A02" w:rsidP="00756A02">
      <w:pPr>
        <w:jc w:val="both"/>
        <w:rPr>
          <w:rFonts w:ascii="Arial" w:hAnsi="Arial" w:cs="Arial"/>
          <w:noProof/>
          <w:sz w:val="24"/>
          <w:szCs w:val="24"/>
        </w:rPr>
      </w:pPr>
      <w:r w:rsidRPr="00756A02">
        <w:rPr>
          <w:rFonts w:ascii="Arial" w:hAnsi="Arial" w:cs="Arial"/>
          <w:noProof/>
          <w:sz w:val="24"/>
          <w:szCs w:val="24"/>
        </w:rPr>
        <w:t xml:space="preserve">Terdakwa yang pada saat itu selaku Pejabat Pelaksana Teknis Kegiatan (PPTK) dalam pengadaan barang, yaitu ATK, peralatan kebersihan, serta makanan dan minuman </w:t>
      </w:r>
      <w:r w:rsidRPr="00756A02">
        <w:rPr>
          <w:rFonts w:ascii="Arial" w:hAnsi="Arial" w:cs="Arial"/>
          <w:b/>
          <w:bCs/>
          <w:noProof/>
          <w:sz w:val="24"/>
          <w:szCs w:val="24"/>
        </w:rPr>
        <w:t>T.A 2015 dan 2016</w:t>
      </w:r>
      <w:r w:rsidRPr="00756A02">
        <w:rPr>
          <w:rFonts w:ascii="Arial" w:hAnsi="Arial" w:cs="Arial"/>
          <w:noProof/>
          <w:sz w:val="24"/>
          <w:szCs w:val="24"/>
        </w:rPr>
        <w:t xml:space="preserve"> pada 14 UPTD Pendidikan dan Kebudayaan Kota Makassar, dituntut Penuntut Umum telah melakukan korupsi secara bersama-sama.</w:t>
      </w:r>
      <w:r>
        <w:rPr>
          <w:rFonts w:ascii="Arial" w:hAnsi="Arial" w:cs="Arial"/>
          <w:noProof/>
          <w:sz w:val="24"/>
          <w:szCs w:val="24"/>
        </w:rPr>
        <w:t xml:space="preserve"> </w:t>
      </w:r>
      <w:r w:rsidRPr="00756A02">
        <w:rPr>
          <w:rFonts w:ascii="Arial" w:hAnsi="Arial" w:cs="Arial"/>
          <w:noProof/>
          <w:sz w:val="24"/>
          <w:szCs w:val="24"/>
        </w:rPr>
        <w:t xml:space="preserve">Majelis Hakim Tipikor PN Makassar yang menangani perkara memutus Terdakwa </w:t>
      </w:r>
      <w:r w:rsidRPr="00756A02">
        <w:rPr>
          <w:rFonts w:ascii="Arial" w:hAnsi="Arial" w:cs="Arial"/>
          <w:b/>
          <w:bCs/>
          <w:noProof/>
          <w:sz w:val="24"/>
          <w:szCs w:val="24"/>
        </w:rPr>
        <w:t>1 tahun 3 bulan</w:t>
      </w:r>
      <w:r w:rsidRPr="00756A02">
        <w:rPr>
          <w:rFonts w:ascii="Arial" w:hAnsi="Arial" w:cs="Arial"/>
          <w:noProof/>
          <w:sz w:val="24"/>
          <w:szCs w:val="24"/>
        </w:rPr>
        <w:t>, denda Rp. 50.000.000 yang apabila tidak dibayar diganti pidana kurungan 1 bulan. Putusan ini dikuatkan pada tingkat banding di PT Makassar.</w:t>
      </w:r>
    </w:p>
    <w:p w14:paraId="5B60DBCD" w14:textId="2C2A855A" w:rsidR="00675396" w:rsidRPr="00675396" w:rsidRDefault="00756A02" w:rsidP="00756A02">
      <w:pPr>
        <w:jc w:val="both"/>
        <w:rPr>
          <w:rFonts w:ascii="Arial" w:hAnsi="Arial" w:cs="Arial"/>
          <w:noProof/>
          <w:sz w:val="24"/>
          <w:szCs w:val="24"/>
        </w:rPr>
      </w:pPr>
      <w:r w:rsidRPr="00756A02">
        <w:rPr>
          <w:rFonts w:ascii="Arial" w:hAnsi="Arial" w:cs="Arial"/>
          <w:noProof/>
          <w:sz w:val="24"/>
          <w:szCs w:val="24"/>
        </w:rPr>
        <w:t>Penuntut Umum kemudian mengajukan Kasasi ke Mahkamah Agung yang kemudian dipertimbangkan oleh Majelis Hakim Agung dengan fakta persidangan bahwa dalam pengadaan barang tersebut Terdakwa memerintahkan staffnya untuk mencari beberapa perusahaan yang bersedia digunakan secara administratif saja tanpa melaksanakan pekerjaan pengadaan tersebut.</w:t>
      </w:r>
      <w:r>
        <w:rPr>
          <w:rFonts w:ascii="Arial" w:hAnsi="Arial" w:cs="Arial"/>
          <w:noProof/>
          <w:sz w:val="24"/>
          <w:szCs w:val="24"/>
        </w:rPr>
        <w:t xml:space="preserve"> </w:t>
      </w:r>
      <w:r w:rsidRPr="00756A02">
        <w:rPr>
          <w:rFonts w:ascii="Arial" w:hAnsi="Arial" w:cs="Arial"/>
          <w:noProof/>
          <w:sz w:val="24"/>
          <w:szCs w:val="24"/>
        </w:rPr>
        <w:t xml:space="preserve">Terdakwa menjanjikan bahwa Perusahaan yang bersedia akan diberikan </w:t>
      </w:r>
      <w:r w:rsidRPr="00756A02">
        <w:rPr>
          <w:rFonts w:ascii="Arial" w:hAnsi="Arial" w:cs="Arial"/>
          <w:i/>
          <w:iCs/>
          <w:noProof/>
          <w:sz w:val="24"/>
          <w:szCs w:val="24"/>
        </w:rPr>
        <w:t>fee</w:t>
      </w:r>
      <w:r w:rsidRPr="00756A02">
        <w:rPr>
          <w:rFonts w:ascii="Arial" w:hAnsi="Arial" w:cs="Arial"/>
          <w:noProof/>
          <w:sz w:val="24"/>
          <w:szCs w:val="24"/>
        </w:rPr>
        <w:t xml:space="preserve"> 5% dari nilai kegiatan, sedangkan 95% diserahkan kepada Terdakwa.</w:t>
      </w:r>
    </w:p>
    <w:p w14:paraId="1A2B0B04" w14:textId="1180FE98" w:rsidR="00675396" w:rsidRPr="00675396" w:rsidRDefault="00675396" w:rsidP="00675396">
      <w:pPr>
        <w:jc w:val="both"/>
        <w:rPr>
          <w:rFonts w:ascii="Arial" w:hAnsi="Arial" w:cs="Arial"/>
          <w:noProof/>
          <w:sz w:val="24"/>
          <w:szCs w:val="24"/>
        </w:rPr>
      </w:pPr>
      <w:r w:rsidRPr="00675396">
        <w:rPr>
          <w:rFonts w:ascii="Arial" w:hAnsi="Arial" w:cs="Arial"/>
          <w:noProof/>
          <w:sz w:val="24"/>
          <w:szCs w:val="24"/>
        </w:rPr>
        <w:t>Dari penyelenggaraan pengadaan tersebut, setelah dirinci terdapat selisih pembayaran Rp. 323.081.978 yang ditetapkan sebagai kerugian keuangan negara dan telah dinikmati Terdakwa serta beberapa korporasi terkait.  Majelis Hakim Agung menimbang bahwa putusan Judex Facti perlu diperbaiki sekedar mengenai lamanya pidana yang dijatuhkan dan uang penggati yang dibebankan karena kerugian keuangan negara akibat perbutan Terdakwa cukup signifikan jumlahnya, serta untuk konsistensi putusan dan kesatuan pendapat hukum dalam praktik pemberantasan tipikor.</w:t>
      </w:r>
      <w:r w:rsidR="00756A02">
        <w:rPr>
          <w:rFonts w:ascii="Arial" w:hAnsi="Arial" w:cs="Arial"/>
          <w:noProof/>
          <w:sz w:val="24"/>
          <w:szCs w:val="24"/>
        </w:rPr>
        <w:t xml:space="preserve"> </w:t>
      </w:r>
    </w:p>
    <w:p w14:paraId="74E0A576" w14:textId="51904732" w:rsidR="00675396" w:rsidRDefault="00675396" w:rsidP="00675396">
      <w:pPr>
        <w:jc w:val="both"/>
        <w:rPr>
          <w:rFonts w:ascii="Arial" w:hAnsi="Arial" w:cs="Arial"/>
          <w:noProof/>
          <w:sz w:val="24"/>
          <w:szCs w:val="24"/>
        </w:rPr>
      </w:pPr>
      <w:r w:rsidRPr="00675396">
        <w:rPr>
          <w:rFonts w:ascii="Arial" w:hAnsi="Arial" w:cs="Arial"/>
          <w:noProof/>
          <w:sz w:val="24"/>
          <w:szCs w:val="24"/>
        </w:rPr>
        <w:t>Majelis Hakim Agung memutus memperbaiki putusan dengan menjatuhkan pidana penjara kepada Terdakwa 2 tahun, denda Rp. 50.000.000 yang apabila tidak dibayar diganti pidana kurungan 3 bulan, serta membayar uang pengganti Rp. 170.059.987 apabila tidak dibayar dalam 1 bulan maka harta bendanya dilelang dan apabila tidak mencukupi diganti pidana penjara 1 tahun.</w:t>
      </w:r>
    </w:p>
    <w:p w14:paraId="0192083E" w14:textId="77777777" w:rsidR="00675396" w:rsidRPr="00675396" w:rsidRDefault="00675396" w:rsidP="00675396">
      <w:pPr>
        <w:jc w:val="both"/>
        <w:rPr>
          <w:rFonts w:ascii="Arial" w:hAnsi="Arial" w:cs="Arial"/>
          <w:noProof/>
          <w:sz w:val="24"/>
          <w:szCs w:val="24"/>
        </w:rPr>
      </w:pPr>
    </w:p>
    <w:p w14:paraId="6938895E" w14:textId="77777777" w:rsidR="00675396" w:rsidRPr="00675396" w:rsidRDefault="00675396" w:rsidP="00675396">
      <w:pPr>
        <w:jc w:val="both"/>
        <w:rPr>
          <w:rFonts w:ascii="Arial" w:hAnsi="Arial" w:cs="Arial"/>
          <w:noProof/>
          <w:sz w:val="24"/>
          <w:szCs w:val="24"/>
        </w:rPr>
      </w:pPr>
      <w:r w:rsidRPr="00675396">
        <w:rPr>
          <w:rFonts w:ascii="Arial" w:hAnsi="Arial" w:cs="Arial"/>
          <w:noProof/>
          <w:sz w:val="24"/>
          <w:szCs w:val="24"/>
        </w:rPr>
        <w:t xml:space="preserve">→ Putusan Mahkamah Agung Nomor 610 K/Pid.Sus/2020, Tanggal 18 Maret 2020 </w:t>
      </w:r>
    </w:p>
    <w:p w14:paraId="28F44914" w14:textId="77777777" w:rsidR="00675396" w:rsidRDefault="00675396" w:rsidP="00675396">
      <w:pPr>
        <w:jc w:val="both"/>
        <w:rPr>
          <w:rFonts w:ascii="Arial" w:hAnsi="Arial" w:cs="Arial"/>
          <w:sz w:val="24"/>
          <w:szCs w:val="24"/>
        </w:rPr>
      </w:pPr>
      <w:r w:rsidRPr="00151CCB">
        <w:rPr>
          <w:rFonts w:ascii="Arial" w:hAnsi="Arial" w:cs="Arial"/>
          <w:noProof/>
          <w:sz w:val="24"/>
          <w:szCs w:val="24"/>
        </w:rPr>
        <w:lastRenderedPageBreak/>
        <w:t xml:space="preserve">Sumber: </w:t>
      </w:r>
      <w:hyperlink r:id="rId4" w:history="1">
        <w:r w:rsidRPr="002F5959">
          <w:rPr>
            <w:rStyle w:val="Hyperlink"/>
            <w:rFonts w:ascii="Arial" w:hAnsi="Arial" w:cs="Arial"/>
            <w:noProof/>
            <w:sz w:val="24"/>
            <w:szCs w:val="24"/>
          </w:rPr>
          <w:t>https://putusan3.mahkamahagung.go.id/direktori/putusan/zaefa256c3169c2c8a78313430343539.html</w:t>
        </w:r>
      </w:hyperlink>
      <w:r>
        <w:rPr>
          <w:rFonts w:ascii="Arial" w:hAnsi="Arial" w:cs="Arial"/>
          <w:noProof/>
          <w:sz w:val="24"/>
          <w:szCs w:val="24"/>
        </w:rPr>
        <w:t xml:space="preserve"> </w:t>
      </w:r>
    </w:p>
    <w:p w14:paraId="3EA4496D" w14:textId="77777777" w:rsidR="00675396" w:rsidRPr="00944D70" w:rsidRDefault="00675396" w:rsidP="00675396">
      <w:pPr>
        <w:jc w:val="both"/>
        <w:rPr>
          <w:rFonts w:ascii="Arial" w:hAnsi="Arial" w:cs="Arial"/>
          <w:sz w:val="24"/>
          <w:szCs w:val="24"/>
        </w:rPr>
      </w:pPr>
    </w:p>
    <w:p w14:paraId="3FA1A72D" w14:textId="77777777" w:rsidR="00675396" w:rsidRDefault="00675396" w:rsidP="00675396">
      <w:pPr>
        <w:spacing w:after="0"/>
        <w:jc w:val="both"/>
        <w:rPr>
          <w:rFonts w:ascii="Arial" w:hAnsi="Arial" w:cs="Arial"/>
          <w:noProof/>
          <w:sz w:val="24"/>
          <w:szCs w:val="24"/>
        </w:rPr>
      </w:pPr>
      <w:r>
        <w:rPr>
          <w:rFonts w:ascii="Arial" w:hAnsi="Arial" w:cs="Arial"/>
          <w:noProof/>
          <w:sz w:val="24"/>
          <w:szCs w:val="24"/>
        </w:rPr>
        <w:t>Salam Pengadaan,</w:t>
      </w:r>
    </w:p>
    <w:p w14:paraId="37973540" w14:textId="77777777" w:rsidR="00675396" w:rsidRDefault="00675396" w:rsidP="00675396">
      <w:pPr>
        <w:spacing w:after="0"/>
        <w:jc w:val="both"/>
        <w:rPr>
          <w:rFonts w:ascii="Arial" w:hAnsi="Arial" w:cs="Arial"/>
          <w:noProof/>
          <w:sz w:val="24"/>
          <w:szCs w:val="24"/>
        </w:rPr>
      </w:pPr>
      <w:r>
        <w:rPr>
          <w:rFonts w:ascii="Arial" w:hAnsi="Arial" w:cs="Arial"/>
          <w:noProof/>
          <w:sz w:val="24"/>
          <w:szCs w:val="24"/>
        </w:rPr>
        <w:t>LBH Pengadaan Publik Indonesia</w:t>
      </w:r>
    </w:p>
    <w:p w14:paraId="3EE2B22A" w14:textId="77777777" w:rsidR="00675396" w:rsidRDefault="00675396" w:rsidP="00675396">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19D9CDE7" w14:textId="77777777" w:rsidR="00675396" w:rsidRDefault="00675396" w:rsidP="00675396"/>
    <w:p w14:paraId="53BCC5D2" w14:textId="77777777" w:rsidR="00675396" w:rsidRDefault="00675396" w:rsidP="00675396"/>
    <w:p w14:paraId="0BFDFE41" w14:textId="77777777" w:rsidR="00675396" w:rsidRDefault="00675396" w:rsidP="00675396"/>
    <w:p w14:paraId="33841FFF"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396"/>
    <w:rsid w:val="00181342"/>
    <w:rsid w:val="00422ADC"/>
    <w:rsid w:val="0060608C"/>
    <w:rsid w:val="00675396"/>
    <w:rsid w:val="00756A02"/>
    <w:rsid w:val="00776034"/>
    <w:rsid w:val="007C6969"/>
    <w:rsid w:val="00833D6D"/>
    <w:rsid w:val="00F542E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3732"/>
  <w15:chartTrackingRefBased/>
  <w15:docId w15:val="{D6B48368-9381-4B8D-87A9-DE6A7943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396"/>
  </w:style>
  <w:style w:type="paragraph" w:styleId="Heading1">
    <w:name w:val="heading 1"/>
    <w:basedOn w:val="Normal"/>
    <w:next w:val="Normal"/>
    <w:link w:val="Heading1Char"/>
    <w:uiPriority w:val="9"/>
    <w:qFormat/>
    <w:rsid w:val="006753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53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53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53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53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5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3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53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53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53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53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5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396"/>
    <w:rPr>
      <w:rFonts w:eastAsiaTheme="majorEastAsia" w:cstheme="majorBidi"/>
      <w:color w:val="272727" w:themeColor="text1" w:themeTint="D8"/>
    </w:rPr>
  </w:style>
  <w:style w:type="paragraph" w:styleId="Title">
    <w:name w:val="Title"/>
    <w:basedOn w:val="Normal"/>
    <w:next w:val="Normal"/>
    <w:link w:val="TitleChar"/>
    <w:uiPriority w:val="10"/>
    <w:qFormat/>
    <w:rsid w:val="00675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396"/>
    <w:pPr>
      <w:spacing w:before="160"/>
      <w:jc w:val="center"/>
    </w:pPr>
    <w:rPr>
      <w:i/>
      <w:iCs/>
      <w:color w:val="404040" w:themeColor="text1" w:themeTint="BF"/>
    </w:rPr>
  </w:style>
  <w:style w:type="character" w:customStyle="1" w:styleId="QuoteChar">
    <w:name w:val="Quote Char"/>
    <w:basedOn w:val="DefaultParagraphFont"/>
    <w:link w:val="Quote"/>
    <w:uiPriority w:val="29"/>
    <w:rsid w:val="00675396"/>
    <w:rPr>
      <w:i/>
      <w:iCs/>
      <w:color w:val="404040" w:themeColor="text1" w:themeTint="BF"/>
    </w:rPr>
  </w:style>
  <w:style w:type="paragraph" w:styleId="ListParagraph">
    <w:name w:val="List Paragraph"/>
    <w:basedOn w:val="Normal"/>
    <w:uiPriority w:val="34"/>
    <w:qFormat/>
    <w:rsid w:val="00675396"/>
    <w:pPr>
      <w:ind w:left="720"/>
      <w:contextualSpacing/>
    </w:pPr>
  </w:style>
  <w:style w:type="character" w:styleId="IntenseEmphasis">
    <w:name w:val="Intense Emphasis"/>
    <w:basedOn w:val="DefaultParagraphFont"/>
    <w:uiPriority w:val="21"/>
    <w:qFormat/>
    <w:rsid w:val="00675396"/>
    <w:rPr>
      <w:i/>
      <w:iCs/>
      <w:color w:val="2F5496" w:themeColor="accent1" w:themeShade="BF"/>
    </w:rPr>
  </w:style>
  <w:style w:type="paragraph" w:styleId="IntenseQuote">
    <w:name w:val="Intense Quote"/>
    <w:basedOn w:val="Normal"/>
    <w:next w:val="Normal"/>
    <w:link w:val="IntenseQuoteChar"/>
    <w:uiPriority w:val="30"/>
    <w:qFormat/>
    <w:rsid w:val="006753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5396"/>
    <w:rPr>
      <w:i/>
      <w:iCs/>
      <w:color w:val="2F5496" w:themeColor="accent1" w:themeShade="BF"/>
    </w:rPr>
  </w:style>
  <w:style w:type="character" w:styleId="IntenseReference">
    <w:name w:val="Intense Reference"/>
    <w:basedOn w:val="DefaultParagraphFont"/>
    <w:uiPriority w:val="32"/>
    <w:qFormat/>
    <w:rsid w:val="00675396"/>
    <w:rPr>
      <w:b/>
      <w:bCs/>
      <w:smallCaps/>
      <w:color w:val="2F5496" w:themeColor="accent1" w:themeShade="BF"/>
      <w:spacing w:val="5"/>
    </w:rPr>
  </w:style>
  <w:style w:type="character" w:styleId="Hyperlink">
    <w:name w:val="Hyperlink"/>
    <w:basedOn w:val="DefaultParagraphFont"/>
    <w:uiPriority w:val="99"/>
    <w:unhideWhenUsed/>
    <w:rsid w:val="006753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fa256c3169c2c8a783134303435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2</cp:revision>
  <dcterms:created xsi:type="dcterms:W3CDTF">2025-09-23T08:45:00Z</dcterms:created>
  <dcterms:modified xsi:type="dcterms:W3CDTF">2025-09-29T10:29:00Z</dcterms:modified>
</cp:coreProperties>
</file>